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B1" w:rsidRDefault="00312CB1" w:rsidP="007A02D3">
      <w:pPr>
        <w:pStyle w:val="MessageHeader"/>
        <w:spacing w:after="0"/>
        <w:ind w:left="0" w:firstLine="0"/>
        <w:jc w:val="center"/>
      </w:pPr>
      <w:r>
        <w:t xml:space="preserve"> </w:t>
      </w:r>
      <w:r w:rsidR="003D5CF8">
        <w:rPr>
          <w:noProof/>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312CB1" w:rsidRDefault="00312CB1">
      <w:pPr>
        <w:pStyle w:val="MessageHeader"/>
        <w:spacing w:after="0"/>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312CB1" w:rsidRDefault="00312CB1">
      <w:pPr>
        <w:jc w:val="center"/>
        <w:rPr>
          <w:rFonts w:ascii="Gill Sans MT" w:hAnsi="Gill Sans MT"/>
          <w:sz w:val="20"/>
        </w:rPr>
      </w:pPr>
      <w:r>
        <w:rPr>
          <w:rFonts w:ascii="Gill Sans MT" w:hAnsi="Gill Sans MT"/>
          <w:sz w:val="20"/>
        </w:rPr>
        <w:t>1111 Broadway Suite 2350, Oakland, CA 94607 • Tel: (510) 251-9470 • Fax: (510) 251-9485</w:t>
      </w:r>
    </w:p>
    <w:p w:rsidR="00312CB1" w:rsidRDefault="00312CB1">
      <w:pPr>
        <w:pStyle w:val="MessageHeader"/>
        <w:ind w:left="0" w:firstLine="0"/>
        <w:jc w:val="center"/>
        <w:rPr>
          <w:spacing w:val="0"/>
          <w:sz w:val="18"/>
        </w:rPr>
      </w:pPr>
    </w:p>
    <w:p w:rsidR="00214C9C" w:rsidRDefault="00214C9C">
      <w:pPr>
        <w:pStyle w:val="MessageHeader"/>
        <w:ind w:left="0" w:firstLine="0"/>
        <w:jc w:val="center"/>
        <w:rPr>
          <w:spacing w:val="0"/>
          <w:sz w:val="18"/>
        </w:rPr>
      </w:pPr>
    </w:p>
    <w:p w:rsidR="00312CB1" w:rsidRDefault="005C0707" w:rsidP="007A02D3">
      <w:pPr>
        <w:pStyle w:val="MessageHeader"/>
        <w:rPr>
          <w:rStyle w:val="MessageHeaderLabel"/>
          <w:rFonts w:ascii="Arial" w:hAnsi="Arial" w:cs="Arial"/>
          <w:spacing w:val="0"/>
          <w:sz w:val="22"/>
          <w:szCs w:val="22"/>
        </w:rPr>
      </w:pPr>
      <w:r>
        <w:rPr>
          <w:rStyle w:val="MessageHeaderLabel"/>
          <w:rFonts w:ascii="Arial" w:hAnsi="Arial" w:cs="Arial"/>
          <w:spacing w:val="0"/>
          <w:sz w:val="22"/>
          <w:szCs w:val="22"/>
        </w:rPr>
        <w:t>October 11</w:t>
      </w:r>
      <w:r w:rsidR="00312CB1">
        <w:rPr>
          <w:rStyle w:val="MessageHeaderLabel"/>
          <w:rFonts w:ascii="Arial" w:hAnsi="Arial" w:cs="Arial"/>
          <w:spacing w:val="0"/>
          <w:sz w:val="22"/>
          <w:szCs w:val="22"/>
        </w:rPr>
        <w:t>, 201</w:t>
      </w:r>
      <w:r w:rsidR="00CE7DDE">
        <w:rPr>
          <w:rStyle w:val="MessageHeaderLabel"/>
          <w:rFonts w:ascii="Arial" w:hAnsi="Arial" w:cs="Arial"/>
          <w:spacing w:val="0"/>
          <w:sz w:val="22"/>
          <w:szCs w:val="22"/>
        </w:rPr>
        <w:t>3</w:t>
      </w:r>
    </w:p>
    <w:p w:rsidR="00312CB1" w:rsidRPr="007A02D3" w:rsidRDefault="00312CB1" w:rsidP="007A02D3">
      <w:pPr>
        <w:pStyle w:val="MessageHeader"/>
        <w:ind w:left="5040" w:firstLine="0"/>
        <w:rPr>
          <w:rStyle w:val="MessageHeaderLabel"/>
          <w:rFonts w:ascii="Arial" w:hAnsi="Arial" w:cs="Arial"/>
          <w:spacing w:val="0"/>
          <w:sz w:val="20"/>
        </w:rPr>
      </w:pPr>
      <w:r w:rsidRPr="007A02D3">
        <w:rPr>
          <w:rStyle w:val="MessageHeaderLabel"/>
          <w:rFonts w:ascii="Arial" w:hAnsi="Arial" w:cs="Arial"/>
          <w:spacing w:val="0"/>
          <w:sz w:val="20"/>
          <w:u w:val="single"/>
        </w:rPr>
        <w:t xml:space="preserve">VIA E-MAIL to </w:t>
      </w:r>
      <w:hyperlink r:id="rId10" w:history="1">
        <w:r w:rsidR="00151523" w:rsidRPr="007A02D3">
          <w:rPr>
            <w:rStyle w:val="Hyperlink"/>
            <w:rFonts w:cs="Arial"/>
            <w:sz w:val="20"/>
            <w:lang w:val="en"/>
          </w:rPr>
          <w:t>dwcrules@dir.ca.gov</w:t>
        </w:r>
      </w:hyperlink>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Maureen Gray, Regulations Coordinator</w:t>
      </w:r>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Department of Industrial Relations</w:t>
      </w:r>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Division of Workers’ Compensation</w:t>
      </w:r>
    </w:p>
    <w:p w:rsidR="00DA25FE" w:rsidRDefault="00DA25FE" w:rsidP="00DA25FE">
      <w:pPr>
        <w:pStyle w:val="BodyText3"/>
        <w:widowControl w:val="0"/>
        <w:rPr>
          <w:rFonts w:ascii="Arial" w:hAnsi="Arial" w:cs="Arial"/>
          <w:color w:val="000000"/>
          <w:sz w:val="22"/>
          <w:szCs w:val="22"/>
        </w:rPr>
      </w:pPr>
      <w:r w:rsidRPr="00DA25FE">
        <w:rPr>
          <w:rFonts w:ascii="Arial" w:hAnsi="Arial" w:cs="Arial"/>
          <w:color w:val="000000"/>
          <w:sz w:val="22"/>
          <w:szCs w:val="22"/>
        </w:rPr>
        <w:t>Post Office Box 420603</w:t>
      </w:r>
    </w:p>
    <w:p w:rsidR="00DA25FE" w:rsidRPr="00DA25FE" w:rsidRDefault="00DA25FE" w:rsidP="00DA25FE">
      <w:pPr>
        <w:pStyle w:val="BodyText3"/>
        <w:widowControl w:val="0"/>
        <w:rPr>
          <w:rFonts w:ascii="Arial" w:hAnsi="Arial" w:cs="Arial"/>
          <w:color w:val="000000"/>
          <w:sz w:val="22"/>
          <w:szCs w:val="22"/>
        </w:rPr>
      </w:pPr>
      <w:r w:rsidRPr="00DA25FE">
        <w:rPr>
          <w:rFonts w:ascii="Arial" w:hAnsi="Arial" w:cs="Arial"/>
          <w:sz w:val="22"/>
          <w:szCs w:val="22"/>
        </w:rPr>
        <w:t>San Francisco, CA  94142</w:t>
      </w:r>
    </w:p>
    <w:p w:rsidR="00312CB1" w:rsidRPr="00DA25FE" w:rsidRDefault="00DA25FE" w:rsidP="00DA25FE">
      <w:pPr>
        <w:pStyle w:val="MessageHeader"/>
        <w:spacing w:after="0" w:line="240" w:lineRule="auto"/>
      </w:pPr>
      <w:r w:rsidRPr="00DA25FE">
        <w:rPr>
          <w:rFonts w:cs="Arial"/>
          <w:spacing w:val="0"/>
          <w:sz w:val="22"/>
          <w:szCs w:val="22"/>
        </w:rPr>
        <w:tab/>
      </w:r>
      <w:r w:rsidRPr="00DA25FE">
        <w:rPr>
          <w:rFonts w:cs="Arial"/>
          <w:spacing w:val="0"/>
          <w:sz w:val="22"/>
          <w:szCs w:val="22"/>
        </w:rPr>
        <w:tab/>
      </w:r>
      <w:r w:rsidRPr="00DA25FE">
        <w:rPr>
          <w:rFonts w:cs="Arial"/>
          <w:spacing w:val="0"/>
          <w:sz w:val="22"/>
          <w:szCs w:val="22"/>
        </w:rPr>
        <w:tab/>
      </w:r>
    </w:p>
    <w:p w:rsidR="003D5CF8" w:rsidRDefault="003D5CF8">
      <w:pPr>
        <w:pStyle w:val="MessageHeader"/>
        <w:spacing w:after="0" w:line="240" w:lineRule="auto"/>
        <w:rPr>
          <w:rStyle w:val="MessageHeaderLabel"/>
          <w:rFonts w:ascii="Arial" w:hAnsi="Arial" w:cs="Arial"/>
          <w:spacing w:val="0"/>
          <w:sz w:val="22"/>
          <w:szCs w:val="22"/>
        </w:rPr>
      </w:pPr>
    </w:p>
    <w:p w:rsidR="00312CB1" w:rsidRPr="00120539" w:rsidRDefault="00312CB1" w:rsidP="00AA73F1">
      <w:pPr>
        <w:pStyle w:val="MessageHeader"/>
        <w:spacing w:after="0" w:line="240" w:lineRule="auto"/>
        <w:ind w:left="0" w:right="-270" w:firstLine="0"/>
        <w:rPr>
          <w:rStyle w:val="MessageHeaderLabel"/>
          <w:rFonts w:ascii="Arial" w:hAnsi="Arial" w:cs="Arial"/>
          <w:b/>
          <w:spacing w:val="0"/>
          <w:sz w:val="22"/>
          <w:szCs w:val="22"/>
        </w:rPr>
      </w:pPr>
      <w:r w:rsidRPr="00120539">
        <w:rPr>
          <w:rStyle w:val="MessageHeaderLabel"/>
          <w:rFonts w:ascii="Arial" w:hAnsi="Arial" w:cs="Arial"/>
          <w:b/>
          <w:spacing w:val="0"/>
          <w:sz w:val="22"/>
          <w:szCs w:val="22"/>
        </w:rPr>
        <w:t xml:space="preserve">RE:  </w:t>
      </w:r>
      <w:r w:rsidR="005C0707">
        <w:rPr>
          <w:rStyle w:val="MessageHeaderLabel"/>
          <w:rFonts w:ascii="Arial" w:hAnsi="Arial" w:cs="Arial"/>
          <w:b/>
          <w:spacing w:val="0"/>
          <w:sz w:val="22"/>
          <w:szCs w:val="22"/>
        </w:rPr>
        <w:t>1</w:t>
      </w:r>
      <w:r w:rsidR="005C0707" w:rsidRPr="005C0707">
        <w:rPr>
          <w:rStyle w:val="MessageHeaderLabel"/>
          <w:rFonts w:ascii="Arial" w:hAnsi="Arial" w:cs="Arial"/>
          <w:b/>
          <w:spacing w:val="0"/>
          <w:sz w:val="22"/>
          <w:szCs w:val="22"/>
          <w:vertAlign w:val="superscript"/>
        </w:rPr>
        <w:t>st</w:t>
      </w:r>
      <w:r w:rsidR="005C0707">
        <w:rPr>
          <w:rStyle w:val="MessageHeaderLabel"/>
          <w:rFonts w:ascii="Arial" w:hAnsi="Arial" w:cs="Arial"/>
          <w:b/>
          <w:spacing w:val="0"/>
          <w:sz w:val="22"/>
          <w:szCs w:val="22"/>
        </w:rPr>
        <w:t xml:space="preserve"> 15-Day Comments</w:t>
      </w:r>
      <w:r w:rsidR="00CE7DDE">
        <w:rPr>
          <w:rStyle w:val="MessageHeaderLabel"/>
          <w:rFonts w:ascii="Arial" w:hAnsi="Arial" w:cs="Arial"/>
          <w:b/>
          <w:spacing w:val="0"/>
          <w:sz w:val="22"/>
          <w:szCs w:val="22"/>
        </w:rPr>
        <w:t xml:space="preserve"> on </w:t>
      </w:r>
      <w:r w:rsidR="005C0707">
        <w:rPr>
          <w:rStyle w:val="MessageHeaderLabel"/>
          <w:rFonts w:ascii="Arial" w:hAnsi="Arial" w:cs="Arial"/>
          <w:b/>
          <w:spacing w:val="0"/>
          <w:sz w:val="22"/>
          <w:szCs w:val="22"/>
        </w:rPr>
        <w:t xml:space="preserve">Modifications to </w:t>
      </w:r>
      <w:r w:rsidR="00CE7DDE">
        <w:rPr>
          <w:rStyle w:val="MessageHeaderLabel"/>
          <w:rFonts w:ascii="Arial" w:hAnsi="Arial" w:cs="Arial"/>
          <w:b/>
          <w:spacing w:val="0"/>
          <w:sz w:val="22"/>
          <w:szCs w:val="22"/>
        </w:rPr>
        <w:t>Proposed</w:t>
      </w:r>
      <w:r w:rsidR="009B4ECF">
        <w:rPr>
          <w:rStyle w:val="MessageHeaderLabel"/>
          <w:rFonts w:ascii="Arial" w:hAnsi="Arial" w:cs="Arial"/>
          <w:b/>
          <w:spacing w:val="0"/>
          <w:sz w:val="22"/>
          <w:szCs w:val="22"/>
        </w:rPr>
        <w:t xml:space="preserve"> </w:t>
      </w:r>
      <w:r w:rsidR="003E355E">
        <w:rPr>
          <w:rStyle w:val="MessageHeaderLabel"/>
          <w:rFonts w:ascii="Arial" w:hAnsi="Arial" w:cs="Arial"/>
          <w:b/>
          <w:spacing w:val="0"/>
          <w:sz w:val="22"/>
          <w:szCs w:val="22"/>
        </w:rPr>
        <w:t xml:space="preserve">Permanent </w:t>
      </w:r>
      <w:r w:rsidR="009B4ECF">
        <w:rPr>
          <w:rStyle w:val="MessageHeaderLabel"/>
          <w:rFonts w:ascii="Arial" w:hAnsi="Arial" w:cs="Arial"/>
          <w:b/>
          <w:spacing w:val="0"/>
          <w:sz w:val="22"/>
          <w:szCs w:val="22"/>
        </w:rPr>
        <w:t>Independent Medical Review</w:t>
      </w:r>
      <w:r w:rsidR="005C0707">
        <w:rPr>
          <w:rStyle w:val="MessageHeaderLabel"/>
          <w:rFonts w:ascii="Arial" w:hAnsi="Arial" w:cs="Arial"/>
          <w:b/>
          <w:spacing w:val="0"/>
          <w:sz w:val="22"/>
          <w:szCs w:val="22"/>
        </w:rPr>
        <w:t xml:space="preserve"> (IMR)</w:t>
      </w:r>
      <w:r w:rsidR="009B4ECF">
        <w:rPr>
          <w:rStyle w:val="MessageHeaderLabel"/>
          <w:rFonts w:ascii="Arial" w:hAnsi="Arial" w:cs="Arial"/>
          <w:b/>
          <w:spacing w:val="0"/>
          <w:sz w:val="22"/>
          <w:szCs w:val="22"/>
        </w:rPr>
        <w:t xml:space="preserve"> Regulations</w:t>
      </w:r>
      <w:r w:rsidR="00CE7DDE">
        <w:rPr>
          <w:rStyle w:val="MessageHeaderLabel"/>
          <w:rFonts w:ascii="Arial" w:hAnsi="Arial" w:cs="Arial"/>
          <w:b/>
          <w:spacing w:val="0"/>
          <w:sz w:val="22"/>
          <w:szCs w:val="22"/>
        </w:rPr>
        <w:t xml:space="preserve"> Sections</w:t>
      </w:r>
      <w:r w:rsidR="00120539" w:rsidRPr="00120539">
        <w:rPr>
          <w:rStyle w:val="MessageHeaderLabel"/>
          <w:rFonts w:ascii="Arial" w:hAnsi="Arial" w:cs="Arial"/>
          <w:b/>
          <w:spacing w:val="0"/>
          <w:sz w:val="22"/>
          <w:szCs w:val="22"/>
        </w:rPr>
        <w:t xml:space="preserve"> </w:t>
      </w:r>
      <w:r w:rsidR="00A4211B">
        <w:rPr>
          <w:rStyle w:val="MessageHeaderLabel"/>
          <w:rFonts w:ascii="Arial" w:hAnsi="Arial" w:cs="Arial"/>
          <w:b/>
          <w:spacing w:val="0"/>
          <w:sz w:val="22"/>
          <w:szCs w:val="22"/>
        </w:rPr>
        <w:t>9785, 9785.5, and 9792.6.1 – 9792.12</w:t>
      </w:r>
    </w:p>
    <w:p w:rsidR="00495F28" w:rsidRDefault="00495F28" w:rsidP="00495F28">
      <w:pPr>
        <w:rPr>
          <w:rFonts w:ascii="Arial" w:hAnsi="Arial" w:cs="Arial"/>
          <w:color w:val="auto"/>
          <w:sz w:val="22"/>
          <w:szCs w:val="22"/>
          <w:lang w:val="en"/>
        </w:rPr>
      </w:pPr>
    </w:p>
    <w:p w:rsidR="00214C9C" w:rsidRDefault="00214C9C" w:rsidP="00495F28">
      <w:pPr>
        <w:rPr>
          <w:rFonts w:ascii="Arial" w:hAnsi="Arial" w:cs="Arial"/>
          <w:color w:val="auto"/>
          <w:sz w:val="22"/>
          <w:szCs w:val="22"/>
          <w:lang w:val="en"/>
        </w:rPr>
      </w:pPr>
    </w:p>
    <w:p w:rsidR="00495F28" w:rsidRPr="00140C35" w:rsidRDefault="00495F28" w:rsidP="00495F28">
      <w:pPr>
        <w:rPr>
          <w:rFonts w:ascii="Arial" w:hAnsi="Arial" w:cs="Arial"/>
          <w:sz w:val="22"/>
          <w:szCs w:val="22"/>
        </w:rPr>
      </w:pPr>
      <w:r w:rsidRPr="00140C35">
        <w:rPr>
          <w:rFonts w:ascii="Arial" w:hAnsi="Arial" w:cs="Arial"/>
          <w:sz w:val="22"/>
          <w:szCs w:val="22"/>
        </w:rPr>
        <w:t>Dear Ms. Gray:</w:t>
      </w:r>
    </w:p>
    <w:p w:rsidR="00495F28" w:rsidRPr="00140C35" w:rsidRDefault="00495F28" w:rsidP="00495F28">
      <w:pPr>
        <w:rPr>
          <w:rFonts w:ascii="Arial" w:hAnsi="Arial" w:cs="Arial"/>
          <w:sz w:val="22"/>
          <w:szCs w:val="22"/>
        </w:rPr>
      </w:pPr>
    </w:p>
    <w:p w:rsidR="00140C35" w:rsidRPr="00140C35" w:rsidRDefault="00312CB1" w:rsidP="00140C35">
      <w:pPr>
        <w:keepLines/>
        <w:tabs>
          <w:tab w:val="left" w:pos="900"/>
        </w:tabs>
        <w:rPr>
          <w:rFonts w:ascii="Arial" w:hAnsi="Arial" w:cs="Arial"/>
          <w:sz w:val="22"/>
          <w:szCs w:val="22"/>
        </w:rPr>
      </w:pPr>
      <w:r w:rsidRPr="00140C35">
        <w:rPr>
          <w:rFonts w:ascii="Arial" w:hAnsi="Arial" w:cs="Arial"/>
          <w:sz w:val="22"/>
          <w:szCs w:val="22"/>
        </w:rPr>
        <w:t>Th</w:t>
      </w:r>
      <w:r w:rsidR="005C0707" w:rsidRPr="00140C35">
        <w:rPr>
          <w:rFonts w:ascii="Arial" w:hAnsi="Arial" w:cs="Arial"/>
          <w:sz w:val="22"/>
          <w:szCs w:val="22"/>
        </w:rPr>
        <w:t>ese</w:t>
      </w:r>
      <w:r w:rsidRPr="00140C35">
        <w:rPr>
          <w:rFonts w:ascii="Arial" w:hAnsi="Arial" w:cs="Arial"/>
          <w:sz w:val="22"/>
          <w:szCs w:val="22"/>
        </w:rPr>
        <w:t xml:space="preserve"> </w:t>
      </w:r>
      <w:r w:rsidR="005C0707" w:rsidRPr="00140C35">
        <w:rPr>
          <w:rFonts w:ascii="Arial" w:hAnsi="Arial" w:cs="Arial"/>
          <w:sz w:val="22"/>
          <w:szCs w:val="22"/>
        </w:rPr>
        <w:t>comments</w:t>
      </w:r>
      <w:r w:rsidRPr="00140C35">
        <w:rPr>
          <w:rFonts w:ascii="Arial" w:hAnsi="Arial" w:cs="Arial"/>
          <w:sz w:val="22"/>
          <w:szCs w:val="22"/>
        </w:rPr>
        <w:t xml:space="preserve"> on </w:t>
      </w:r>
      <w:r w:rsidR="005C0707" w:rsidRPr="00140C35">
        <w:rPr>
          <w:rFonts w:ascii="Arial" w:hAnsi="Arial" w:cs="Arial"/>
          <w:sz w:val="22"/>
          <w:szCs w:val="22"/>
        </w:rPr>
        <w:t xml:space="preserve">modifications to the </w:t>
      </w:r>
      <w:r w:rsidR="009B4ECF" w:rsidRPr="00140C35">
        <w:rPr>
          <w:rFonts w:ascii="Arial" w:hAnsi="Arial" w:cs="Arial"/>
          <w:sz w:val="22"/>
          <w:szCs w:val="22"/>
        </w:rPr>
        <w:t>regulations</w:t>
      </w:r>
      <w:r w:rsidR="00D87558" w:rsidRPr="00140C35">
        <w:rPr>
          <w:rFonts w:ascii="Arial" w:hAnsi="Arial" w:cs="Arial"/>
          <w:sz w:val="22"/>
          <w:szCs w:val="22"/>
        </w:rPr>
        <w:t xml:space="preserve"> </w:t>
      </w:r>
      <w:r w:rsidR="005A7DA8" w:rsidRPr="00140C35">
        <w:rPr>
          <w:rFonts w:ascii="Arial" w:hAnsi="Arial" w:cs="Arial"/>
          <w:sz w:val="22"/>
          <w:szCs w:val="22"/>
        </w:rPr>
        <w:t>proposed for permanent adoption to</w:t>
      </w:r>
      <w:r w:rsidR="00D87558" w:rsidRPr="00140C35">
        <w:rPr>
          <w:rFonts w:ascii="Arial" w:hAnsi="Arial" w:cs="Arial"/>
          <w:sz w:val="22"/>
          <w:szCs w:val="22"/>
        </w:rPr>
        <w:t xml:space="preserve"> implement Senate Bill 863 provisions regarding</w:t>
      </w:r>
      <w:r w:rsidR="009B4ECF" w:rsidRPr="00140C35">
        <w:rPr>
          <w:rFonts w:ascii="Arial" w:hAnsi="Arial" w:cs="Arial"/>
          <w:sz w:val="22"/>
          <w:szCs w:val="22"/>
        </w:rPr>
        <w:t xml:space="preserve"> Independent Medical Review (IMR) and utilization</w:t>
      </w:r>
      <w:r w:rsidR="00D87558" w:rsidRPr="00140C35">
        <w:rPr>
          <w:rFonts w:ascii="Arial" w:hAnsi="Arial" w:cs="Arial"/>
          <w:sz w:val="22"/>
          <w:szCs w:val="22"/>
        </w:rPr>
        <w:t xml:space="preserve"> review </w:t>
      </w:r>
      <w:r w:rsidR="00D10A82" w:rsidRPr="00140C35">
        <w:rPr>
          <w:rFonts w:ascii="Arial" w:hAnsi="Arial" w:cs="Arial"/>
          <w:sz w:val="22"/>
          <w:szCs w:val="22"/>
        </w:rPr>
        <w:t>are</w:t>
      </w:r>
      <w:r w:rsidRPr="00140C35">
        <w:rPr>
          <w:rFonts w:ascii="Arial" w:hAnsi="Arial" w:cs="Arial"/>
          <w:sz w:val="22"/>
          <w:szCs w:val="22"/>
        </w:rPr>
        <w:t xml:space="preserve"> presented on behalf of members of the California Workers' Compensation Institute (the Institute).  </w:t>
      </w:r>
      <w:r w:rsidR="00140C35" w:rsidRPr="00140C35">
        <w:rPr>
          <w:rFonts w:ascii="Arial" w:hAnsi="Arial" w:cs="Arial"/>
          <w:sz w:val="22"/>
          <w:szCs w:val="22"/>
        </w:rPr>
        <w:t>Institute members include insurers writing 7</w:t>
      </w:r>
      <w:r w:rsidR="00DA25FE">
        <w:rPr>
          <w:rFonts w:ascii="Arial" w:hAnsi="Arial" w:cs="Arial"/>
          <w:sz w:val="22"/>
          <w:szCs w:val="22"/>
        </w:rPr>
        <w:t>1</w:t>
      </w:r>
      <w:r w:rsidR="00140C35" w:rsidRPr="00140C35">
        <w:rPr>
          <w:rFonts w:ascii="Arial" w:hAnsi="Arial" w:cs="Arial"/>
          <w:sz w:val="22"/>
          <w:szCs w:val="22"/>
        </w:rPr>
        <w:t>% of California’s workers’ compensation premium, and self-insured employers with $4</w:t>
      </w:r>
      <w:r w:rsidR="005E30D8">
        <w:rPr>
          <w:rFonts w:ascii="Arial" w:hAnsi="Arial" w:cs="Arial"/>
          <w:sz w:val="22"/>
          <w:szCs w:val="22"/>
        </w:rPr>
        <w:t>6</w:t>
      </w:r>
      <w:r w:rsidR="00140C35" w:rsidRPr="00140C35">
        <w:rPr>
          <w:rFonts w:ascii="Arial" w:hAnsi="Arial" w:cs="Arial"/>
          <w:sz w:val="22"/>
          <w:szCs w:val="22"/>
        </w:rPr>
        <w:t>B of annual payroll (2</w:t>
      </w:r>
      <w:r w:rsidR="008B0360">
        <w:rPr>
          <w:rFonts w:ascii="Arial" w:hAnsi="Arial" w:cs="Arial"/>
          <w:sz w:val="22"/>
          <w:szCs w:val="22"/>
        </w:rPr>
        <w:t>7</w:t>
      </w:r>
      <w:r w:rsidR="00140C35" w:rsidRPr="00140C35">
        <w:rPr>
          <w:rFonts w:ascii="Arial" w:hAnsi="Arial" w:cs="Arial"/>
          <w:sz w:val="22"/>
          <w:szCs w:val="22"/>
        </w:rPr>
        <w:t xml:space="preserve">% of the state’s total annual self-insured payroll).  </w:t>
      </w:r>
    </w:p>
    <w:p w:rsidR="00140C35" w:rsidRPr="00140C35" w:rsidRDefault="00140C35" w:rsidP="00140C35">
      <w:pPr>
        <w:keepLines/>
        <w:tabs>
          <w:tab w:val="left" w:pos="900"/>
        </w:tabs>
        <w:rPr>
          <w:rFonts w:ascii="Arial" w:hAnsi="Arial" w:cs="Arial"/>
          <w:sz w:val="22"/>
          <w:szCs w:val="22"/>
        </w:rPr>
      </w:pPr>
    </w:p>
    <w:p w:rsidR="00140C35" w:rsidRPr="00140C35" w:rsidRDefault="00140C35" w:rsidP="00140C35">
      <w:pPr>
        <w:shd w:val="clear" w:color="auto" w:fill="FFFFFF"/>
        <w:rPr>
          <w:rFonts w:ascii="Arial" w:hAnsi="Arial" w:cs="Arial"/>
          <w:sz w:val="22"/>
          <w:szCs w:val="22"/>
        </w:rPr>
      </w:pPr>
      <w:r w:rsidRPr="00140C35">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140C35" w:rsidRPr="00140C35" w:rsidRDefault="00140C35" w:rsidP="00140C35">
      <w:pPr>
        <w:shd w:val="clear" w:color="auto" w:fill="FFFFFF"/>
        <w:rPr>
          <w:rFonts w:ascii="Arial" w:hAnsi="Arial" w:cs="Arial"/>
          <w:sz w:val="22"/>
          <w:szCs w:val="22"/>
        </w:rPr>
      </w:pPr>
    </w:p>
    <w:p w:rsidR="00140C35" w:rsidRPr="00140C35" w:rsidRDefault="00140C35" w:rsidP="00140C35">
      <w:pPr>
        <w:keepLines/>
        <w:tabs>
          <w:tab w:val="left" w:pos="900"/>
        </w:tabs>
        <w:rPr>
          <w:rFonts w:ascii="Arial" w:hAnsi="Arial" w:cs="Arial"/>
          <w:sz w:val="22"/>
          <w:szCs w:val="22"/>
        </w:rPr>
      </w:pPr>
      <w:r w:rsidRPr="00140C35">
        <w:rPr>
          <w:rFonts w:ascii="Arial" w:hAnsi="Arial" w:cs="Arial"/>
          <w:sz w:val="22"/>
          <w:szCs w:val="22"/>
        </w:rPr>
        <w:t xml:space="preserve">Self-insured employer members are Adventist Health, Agilent Technologies, </w:t>
      </w:r>
      <w:r w:rsidR="007F319D">
        <w:rPr>
          <w:rFonts w:ascii="Arial" w:hAnsi="Arial" w:cs="Arial"/>
          <w:sz w:val="22"/>
          <w:szCs w:val="22"/>
        </w:rPr>
        <w:t xml:space="preserve">Chevron Corporation, </w:t>
      </w:r>
      <w:r w:rsidRPr="00140C35">
        <w:rPr>
          <w:rFonts w:ascii="Arial" w:hAnsi="Arial" w:cs="Arial"/>
          <w:sz w:val="22"/>
          <w:szCs w:val="22"/>
        </w:rPr>
        <w:t xml:space="preserve">City and County of San Francisco, City of Santa Ana, City of Torrance, Contra Costa County Schools Insurance Group, Costco Wholesale, County of San Bernardino Risk Management, County of Santa Clara Risk Management, Dignity Health, Foster Farms, Grimmway Enterprises Inc., Kaiser </w:t>
      </w:r>
      <w:r w:rsidR="002C1618">
        <w:rPr>
          <w:rFonts w:ascii="Arial" w:hAnsi="Arial" w:cs="Arial"/>
          <w:sz w:val="22"/>
          <w:szCs w:val="22"/>
        </w:rPr>
        <w:t xml:space="preserve">Permanente, </w:t>
      </w:r>
      <w:r w:rsidRPr="00140C35">
        <w:rPr>
          <w:rFonts w:ascii="Arial" w:hAnsi="Arial" w:cs="Arial"/>
          <w:sz w:val="22"/>
          <w:szCs w:val="22"/>
        </w:rPr>
        <w:t xml:space="preserve">Marriott International, Inc., Pacific Gas &amp; Electric Company, Safeway, Inc., Schools Insurance Authority, Sempra Energy, Shasta County Risk Management, Southern California Edison, Sutter Health, University of California, and The Walt Disney Company. </w:t>
      </w:r>
    </w:p>
    <w:p w:rsidR="00933829" w:rsidRPr="00933829" w:rsidRDefault="00933829" w:rsidP="00140C35">
      <w:pPr>
        <w:pStyle w:val="MessageHeader"/>
        <w:tabs>
          <w:tab w:val="left" w:pos="900"/>
        </w:tabs>
        <w:spacing w:after="0" w:line="240" w:lineRule="auto"/>
        <w:ind w:left="0" w:firstLine="0"/>
        <w:rPr>
          <w:rFonts w:cs="Arial"/>
          <w:sz w:val="16"/>
          <w:szCs w:val="16"/>
        </w:rPr>
      </w:pPr>
    </w:p>
    <w:p w:rsidR="00CE11AE" w:rsidRDefault="00CE11AE" w:rsidP="004C594A">
      <w:pPr>
        <w:pStyle w:val="MessageHeader"/>
        <w:tabs>
          <w:tab w:val="left" w:pos="900"/>
        </w:tabs>
        <w:spacing w:after="0" w:line="240" w:lineRule="auto"/>
        <w:ind w:left="0" w:firstLine="0"/>
        <w:rPr>
          <w:rFonts w:cs="Arial"/>
          <w:sz w:val="22"/>
          <w:szCs w:val="22"/>
        </w:rPr>
      </w:pPr>
    </w:p>
    <w:p w:rsidR="00140C35" w:rsidRDefault="00140C35" w:rsidP="004C594A">
      <w:pPr>
        <w:pStyle w:val="MessageHeader"/>
        <w:tabs>
          <w:tab w:val="left" w:pos="900"/>
        </w:tabs>
        <w:spacing w:after="0" w:line="240" w:lineRule="auto"/>
        <w:ind w:left="0" w:firstLine="0"/>
        <w:rPr>
          <w:rFonts w:cs="Arial"/>
          <w:sz w:val="22"/>
          <w:szCs w:val="22"/>
        </w:rPr>
      </w:pPr>
    </w:p>
    <w:p w:rsidR="00CE11AE" w:rsidRPr="00CE11AE" w:rsidRDefault="00CE11AE" w:rsidP="00CE11AE">
      <w:pPr>
        <w:rPr>
          <w:rFonts w:ascii="Arial" w:eastAsiaTheme="minorHAnsi" w:hAnsi="Arial" w:cs="Arial"/>
          <w:b/>
          <w:color w:val="auto"/>
          <w:sz w:val="22"/>
          <w:szCs w:val="22"/>
        </w:rPr>
      </w:pPr>
      <w:r w:rsidRPr="002C62FD">
        <w:rPr>
          <w:rFonts w:ascii="Arial" w:eastAsiaTheme="minorHAnsi" w:hAnsi="Arial" w:cs="Arial"/>
          <w:b/>
          <w:color w:val="auto"/>
          <w:sz w:val="22"/>
          <w:szCs w:val="22"/>
        </w:rPr>
        <w:t>Introduction</w:t>
      </w:r>
      <w:r w:rsidRPr="00CE11AE">
        <w:rPr>
          <w:rFonts w:ascii="Arial" w:eastAsiaTheme="minorHAnsi" w:hAnsi="Arial" w:cs="Arial"/>
          <w:b/>
          <w:color w:val="auto"/>
          <w:sz w:val="22"/>
          <w:szCs w:val="22"/>
        </w:rPr>
        <w:t xml:space="preserve"> </w:t>
      </w:r>
    </w:p>
    <w:p w:rsidR="00CE11AE" w:rsidRPr="00CE11AE" w:rsidRDefault="00CE11AE" w:rsidP="00CE11AE">
      <w:pPr>
        <w:rPr>
          <w:rFonts w:ascii="Arial" w:eastAsiaTheme="minorHAnsi" w:hAnsi="Arial" w:cs="Arial"/>
          <w:color w:val="auto"/>
          <w:sz w:val="22"/>
          <w:szCs w:val="22"/>
        </w:rPr>
      </w:pPr>
    </w:p>
    <w:p w:rsidR="00EB1E87" w:rsidRDefault="00CE11AE" w:rsidP="00CE11AE">
      <w:pPr>
        <w:rPr>
          <w:rFonts w:ascii="Arial" w:eastAsiaTheme="minorHAnsi" w:hAnsi="Arial" w:cs="Arial"/>
          <w:color w:val="auto"/>
          <w:sz w:val="22"/>
          <w:szCs w:val="22"/>
          <w:lang w:val="en"/>
        </w:rPr>
      </w:pPr>
      <w:r>
        <w:rPr>
          <w:rFonts w:ascii="Arial" w:eastAsiaTheme="minorHAnsi" w:hAnsi="Arial" w:cs="Arial"/>
          <w:color w:val="auto"/>
          <w:sz w:val="22"/>
          <w:szCs w:val="22"/>
        </w:rPr>
        <w:t>T</w:t>
      </w:r>
      <w:r w:rsidRPr="00CE11AE">
        <w:rPr>
          <w:rFonts w:ascii="Arial" w:eastAsiaTheme="minorHAnsi" w:hAnsi="Arial" w:cs="Arial"/>
          <w:color w:val="auto"/>
          <w:sz w:val="22"/>
          <w:szCs w:val="22"/>
        </w:rPr>
        <w:t xml:space="preserve">he </w:t>
      </w:r>
      <w:r w:rsidR="00A41157">
        <w:rPr>
          <w:rFonts w:ascii="Arial" w:eastAsiaTheme="minorHAnsi" w:hAnsi="Arial" w:cs="Arial"/>
          <w:color w:val="auto"/>
          <w:sz w:val="22"/>
          <w:szCs w:val="22"/>
        </w:rPr>
        <w:t xml:space="preserve">California Workers’ Compensation </w:t>
      </w:r>
      <w:r w:rsidRPr="00CE11AE">
        <w:rPr>
          <w:rFonts w:ascii="Arial" w:eastAsiaTheme="minorHAnsi" w:hAnsi="Arial" w:cs="Arial"/>
          <w:color w:val="auto"/>
          <w:sz w:val="22"/>
          <w:szCs w:val="22"/>
        </w:rPr>
        <w:t xml:space="preserve">Institute supports </w:t>
      </w:r>
      <w:r w:rsidR="00140C35">
        <w:rPr>
          <w:rFonts w:ascii="Arial" w:eastAsiaTheme="minorHAnsi" w:hAnsi="Arial" w:cs="Arial"/>
          <w:color w:val="auto"/>
          <w:sz w:val="22"/>
          <w:szCs w:val="22"/>
        </w:rPr>
        <w:t>comments</w:t>
      </w:r>
      <w:r>
        <w:rPr>
          <w:rFonts w:ascii="Arial" w:eastAsiaTheme="minorHAnsi" w:hAnsi="Arial" w:cs="Arial"/>
          <w:color w:val="auto"/>
          <w:sz w:val="22"/>
          <w:szCs w:val="22"/>
        </w:rPr>
        <w:t xml:space="preserve"> </w:t>
      </w:r>
      <w:r w:rsidRPr="00CE11AE">
        <w:rPr>
          <w:rFonts w:ascii="Arial" w:eastAsiaTheme="minorHAnsi" w:hAnsi="Arial" w:cs="Arial"/>
          <w:color w:val="auto"/>
          <w:sz w:val="22"/>
          <w:szCs w:val="22"/>
          <w:lang w:val="en"/>
        </w:rPr>
        <w:t xml:space="preserve">on </w:t>
      </w:r>
      <w:r w:rsidR="00994FFC">
        <w:rPr>
          <w:rFonts w:ascii="Arial" w:eastAsiaTheme="minorHAnsi" w:hAnsi="Arial" w:cs="Arial"/>
          <w:color w:val="auto"/>
          <w:sz w:val="22"/>
          <w:szCs w:val="22"/>
          <w:lang w:val="en"/>
        </w:rPr>
        <w:t xml:space="preserve">the </w:t>
      </w:r>
      <w:r w:rsidR="00140C35">
        <w:rPr>
          <w:rFonts w:ascii="Arial" w:eastAsiaTheme="minorHAnsi" w:hAnsi="Arial" w:cs="Arial"/>
          <w:color w:val="auto"/>
          <w:sz w:val="22"/>
          <w:szCs w:val="22"/>
          <w:lang w:val="en"/>
        </w:rPr>
        <w:t xml:space="preserve">modifications to </w:t>
      </w:r>
      <w:r w:rsidRPr="00CE11AE">
        <w:rPr>
          <w:rFonts w:ascii="Arial" w:eastAsiaTheme="minorHAnsi" w:hAnsi="Arial" w:cs="Arial"/>
          <w:color w:val="auto"/>
          <w:sz w:val="22"/>
          <w:szCs w:val="22"/>
          <w:lang w:val="en"/>
        </w:rPr>
        <w:t>proposed permanent</w:t>
      </w:r>
      <w:r w:rsidR="005714E7">
        <w:rPr>
          <w:rFonts w:ascii="Arial" w:eastAsiaTheme="minorHAnsi" w:hAnsi="Arial" w:cs="Arial"/>
          <w:color w:val="auto"/>
          <w:sz w:val="22"/>
          <w:szCs w:val="22"/>
          <w:lang w:val="en"/>
        </w:rPr>
        <w:t xml:space="preserve"> Independent Medical Review (</w:t>
      </w:r>
      <w:r w:rsidR="007D5AF5">
        <w:rPr>
          <w:rFonts w:ascii="Arial" w:eastAsiaTheme="minorHAnsi" w:hAnsi="Arial" w:cs="Arial"/>
          <w:color w:val="auto"/>
          <w:sz w:val="22"/>
          <w:szCs w:val="22"/>
          <w:lang w:val="en"/>
        </w:rPr>
        <w:t>IMR</w:t>
      </w:r>
      <w:r w:rsidR="005714E7">
        <w:rPr>
          <w:rFonts w:ascii="Arial" w:eastAsiaTheme="minorHAnsi" w:hAnsi="Arial" w:cs="Arial"/>
          <w:color w:val="auto"/>
          <w:sz w:val="22"/>
          <w:szCs w:val="22"/>
          <w:lang w:val="en"/>
        </w:rPr>
        <w:t>)</w:t>
      </w:r>
      <w:r w:rsidR="007D5AF5">
        <w:rPr>
          <w:rFonts w:ascii="Arial" w:eastAsiaTheme="minorHAnsi" w:hAnsi="Arial" w:cs="Arial"/>
          <w:color w:val="auto"/>
          <w:sz w:val="22"/>
          <w:szCs w:val="22"/>
          <w:lang w:val="en"/>
        </w:rPr>
        <w:t xml:space="preserve"> </w:t>
      </w:r>
      <w:r w:rsidRPr="00CE11AE">
        <w:rPr>
          <w:rFonts w:ascii="Arial" w:eastAsiaTheme="minorHAnsi" w:hAnsi="Arial" w:cs="Arial"/>
          <w:color w:val="auto"/>
          <w:sz w:val="22"/>
          <w:szCs w:val="22"/>
          <w:lang w:val="en"/>
        </w:rPr>
        <w:t>regulations</w:t>
      </w:r>
      <w:r>
        <w:rPr>
          <w:rFonts w:ascii="Arial" w:eastAsiaTheme="minorHAnsi" w:hAnsi="Arial" w:cs="Arial"/>
          <w:color w:val="auto"/>
          <w:sz w:val="22"/>
          <w:szCs w:val="22"/>
        </w:rPr>
        <w:t xml:space="preserve"> submitted by</w:t>
      </w:r>
      <w:r w:rsidRPr="00CE11AE">
        <w:rPr>
          <w:rFonts w:ascii="Arial" w:eastAsiaTheme="minorHAnsi" w:hAnsi="Arial" w:cs="Arial"/>
          <w:color w:val="auto"/>
          <w:sz w:val="22"/>
          <w:szCs w:val="22"/>
        </w:rPr>
        <w:t xml:space="preserve"> the </w:t>
      </w:r>
      <w:r w:rsidR="004A2A3B" w:rsidRPr="00CE11AE">
        <w:rPr>
          <w:rFonts w:ascii="Arial" w:eastAsiaTheme="minorHAnsi" w:hAnsi="Arial" w:cs="Arial"/>
          <w:color w:val="auto"/>
          <w:sz w:val="22"/>
          <w:szCs w:val="22"/>
        </w:rPr>
        <w:t xml:space="preserve">California Chamber of Commerce and the </w:t>
      </w:r>
      <w:r w:rsidR="004A2A3B" w:rsidRPr="00CE11AE">
        <w:rPr>
          <w:rFonts w:ascii="Arial" w:eastAsiaTheme="minorHAnsi" w:hAnsi="Arial" w:cs="Arial"/>
          <w:bCs/>
          <w:color w:val="auto"/>
          <w:sz w:val="22"/>
          <w:szCs w:val="22"/>
          <w:lang w:val="en"/>
        </w:rPr>
        <w:t>California Coalition on Workers' Compensation</w:t>
      </w:r>
      <w:r w:rsidR="004A2A3B" w:rsidRPr="00CE11AE">
        <w:rPr>
          <w:rFonts w:ascii="Arial" w:eastAsiaTheme="minorHAnsi" w:hAnsi="Arial" w:cs="Arial"/>
          <w:color w:val="auto"/>
          <w:sz w:val="22"/>
          <w:szCs w:val="22"/>
          <w:lang w:val="en"/>
        </w:rPr>
        <w:t xml:space="preserve"> (</w:t>
      </w:r>
      <w:r w:rsidR="004A2A3B" w:rsidRPr="00CE11AE">
        <w:rPr>
          <w:rFonts w:ascii="Arial" w:eastAsiaTheme="minorHAnsi" w:hAnsi="Arial" w:cs="Arial"/>
          <w:bCs/>
          <w:color w:val="auto"/>
          <w:sz w:val="22"/>
          <w:szCs w:val="22"/>
          <w:lang w:val="en"/>
        </w:rPr>
        <w:t>CCWC</w:t>
      </w:r>
      <w:r w:rsidR="004A2A3B" w:rsidRPr="00CE11AE">
        <w:rPr>
          <w:rFonts w:ascii="Arial" w:eastAsiaTheme="minorHAnsi" w:hAnsi="Arial" w:cs="Arial"/>
          <w:color w:val="auto"/>
          <w:sz w:val="22"/>
          <w:szCs w:val="22"/>
          <w:lang w:val="en"/>
        </w:rPr>
        <w:t>);</w:t>
      </w:r>
      <w:r w:rsidR="004A2A3B">
        <w:rPr>
          <w:rFonts w:ascii="Arial" w:eastAsiaTheme="minorHAnsi" w:hAnsi="Arial" w:cs="Arial"/>
          <w:color w:val="auto"/>
          <w:sz w:val="22"/>
          <w:szCs w:val="22"/>
          <w:lang w:val="en"/>
        </w:rPr>
        <w:t xml:space="preserve"> </w:t>
      </w:r>
      <w:r w:rsidR="004A2A3B" w:rsidRPr="00CE11AE">
        <w:rPr>
          <w:rFonts w:ascii="Arial" w:eastAsiaTheme="minorHAnsi" w:hAnsi="Arial" w:cs="Arial"/>
          <w:color w:val="auto"/>
          <w:sz w:val="22"/>
          <w:szCs w:val="22"/>
          <w:lang w:val="en"/>
        </w:rPr>
        <w:t xml:space="preserve">and </w:t>
      </w:r>
      <w:r w:rsidR="004A2A3B">
        <w:rPr>
          <w:rFonts w:ascii="Arial" w:eastAsiaTheme="minorHAnsi" w:hAnsi="Arial" w:cs="Arial"/>
          <w:color w:val="auto"/>
          <w:sz w:val="22"/>
          <w:szCs w:val="22"/>
          <w:lang w:val="en"/>
        </w:rPr>
        <w:t xml:space="preserve">by </w:t>
      </w:r>
      <w:r w:rsidR="004A2A3B" w:rsidRPr="00CE11AE">
        <w:rPr>
          <w:rFonts w:ascii="Arial" w:eastAsiaTheme="minorHAnsi" w:hAnsi="Arial" w:cs="Arial"/>
          <w:color w:val="auto"/>
          <w:sz w:val="22"/>
          <w:szCs w:val="22"/>
          <w:lang w:val="en"/>
        </w:rPr>
        <w:t xml:space="preserve">the </w:t>
      </w:r>
      <w:r w:rsidR="00994FFC" w:rsidRPr="00CE11AE">
        <w:rPr>
          <w:rFonts w:ascii="Arial" w:eastAsiaTheme="minorHAnsi" w:hAnsi="Arial" w:cs="Arial"/>
          <w:color w:val="auto"/>
          <w:sz w:val="22"/>
          <w:szCs w:val="22"/>
          <w:lang w:val="en"/>
        </w:rPr>
        <w:t>Ameri</w:t>
      </w:r>
      <w:r w:rsidR="00994FFC">
        <w:rPr>
          <w:rFonts w:ascii="Arial" w:eastAsiaTheme="minorHAnsi" w:hAnsi="Arial" w:cs="Arial"/>
          <w:color w:val="auto"/>
          <w:sz w:val="22"/>
          <w:szCs w:val="22"/>
          <w:lang w:val="en"/>
        </w:rPr>
        <w:t>can Insurance Association (AIA)</w:t>
      </w:r>
      <w:r w:rsidR="004C1BCF">
        <w:rPr>
          <w:rFonts w:ascii="Arial" w:eastAsiaTheme="minorHAnsi" w:hAnsi="Arial" w:cs="Arial"/>
          <w:color w:val="auto"/>
          <w:sz w:val="22"/>
          <w:szCs w:val="22"/>
          <w:lang w:val="en"/>
        </w:rPr>
        <w:t>.</w:t>
      </w:r>
      <w:r w:rsidRPr="00CE11AE">
        <w:rPr>
          <w:rFonts w:ascii="Arial" w:eastAsiaTheme="minorHAnsi" w:hAnsi="Arial" w:cs="Arial"/>
          <w:color w:val="auto"/>
          <w:sz w:val="22"/>
          <w:szCs w:val="22"/>
          <w:lang w:val="en"/>
        </w:rPr>
        <w:t xml:space="preserve"> </w:t>
      </w:r>
      <w:r w:rsidR="00EB1E87">
        <w:rPr>
          <w:rFonts w:ascii="Arial" w:eastAsiaTheme="minorHAnsi" w:hAnsi="Arial" w:cs="Arial"/>
          <w:color w:val="auto"/>
          <w:sz w:val="22"/>
          <w:szCs w:val="22"/>
          <w:lang w:val="en"/>
        </w:rPr>
        <w:t xml:space="preserve"> </w:t>
      </w:r>
      <w:r w:rsidRPr="00CE11AE">
        <w:rPr>
          <w:rFonts w:ascii="Arial" w:eastAsiaTheme="minorHAnsi" w:hAnsi="Arial" w:cs="Arial"/>
          <w:color w:val="auto"/>
          <w:sz w:val="22"/>
          <w:szCs w:val="22"/>
          <w:lang w:val="en"/>
        </w:rPr>
        <w:t xml:space="preserve">In addition, the Institute offers recommendations in an effort to create greater clarity, precision, and efficiency.  </w:t>
      </w:r>
    </w:p>
    <w:p w:rsidR="00355DCD" w:rsidRDefault="00355DCD" w:rsidP="00355DCD">
      <w:pPr>
        <w:pStyle w:val="MessageHeader"/>
        <w:tabs>
          <w:tab w:val="left" w:pos="900"/>
        </w:tabs>
        <w:spacing w:after="0" w:line="240" w:lineRule="auto"/>
        <w:ind w:left="0" w:firstLine="0"/>
        <w:rPr>
          <w:rFonts w:cs="Arial"/>
          <w:sz w:val="22"/>
          <w:szCs w:val="22"/>
        </w:rPr>
      </w:pPr>
    </w:p>
    <w:p w:rsidR="00355DCD" w:rsidRDefault="00355DCD" w:rsidP="00355DCD">
      <w:pPr>
        <w:rPr>
          <w:rFonts w:ascii="Arial" w:eastAsia="Calibri" w:hAnsi="Arial" w:cs="Arial"/>
          <w:color w:val="auto"/>
          <w:sz w:val="22"/>
          <w:szCs w:val="22"/>
        </w:rPr>
      </w:pPr>
      <w:r>
        <w:rPr>
          <w:rFonts w:ascii="Arial" w:eastAsiaTheme="minorHAnsi" w:hAnsi="Arial" w:cs="Arial"/>
          <w:color w:val="auto"/>
          <w:sz w:val="22"/>
          <w:szCs w:val="22"/>
        </w:rPr>
        <w:t xml:space="preserve">The </w:t>
      </w:r>
      <w:r w:rsidR="003C528F">
        <w:rPr>
          <w:rFonts w:ascii="Arial" w:eastAsiaTheme="minorHAnsi" w:hAnsi="Arial" w:cs="Arial"/>
          <w:color w:val="auto"/>
          <w:sz w:val="22"/>
          <w:szCs w:val="22"/>
        </w:rPr>
        <w:t xml:space="preserve">Institute strongly objects to the </w:t>
      </w:r>
      <w:r>
        <w:rPr>
          <w:rFonts w:ascii="Arial" w:eastAsiaTheme="minorHAnsi" w:hAnsi="Arial" w:cs="Arial"/>
          <w:color w:val="auto"/>
          <w:sz w:val="22"/>
          <w:szCs w:val="22"/>
        </w:rPr>
        <w:t>modifications to the proposed revisions</w:t>
      </w:r>
      <w:r w:rsidR="003C528F">
        <w:rPr>
          <w:rFonts w:ascii="Arial" w:eastAsiaTheme="minorHAnsi" w:hAnsi="Arial" w:cs="Arial"/>
          <w:color w:val="auto"/>
          <w:sz w:val="22"/>
          <w:szCs w:val="22"/>
        </w:rPr>
        <w:t xml:space="preserve"> that would permit requests for authorization to be made in any form</w:t>
      </w:r>
      <w:r w:rsidR="0076230A">
        <w:rPr>
          <w:rFonts w:ascii="Arial" w:eastAsiaTheme="minorHAnsi" w:hAnsi="Arial" w:cs="Arial"/>
          <w:color w:val="auto"/>
          <w:sz w:val="22"/>
          <w:szCs w:val="22"/>
        </w:rPr>
        <w:t xml:space="preserve"> and </w:t>
      </w:r>
      <w:r w:rsidR="002F3025">
        <w:rPr>
          <w:rFonts w:ascii="Arial" w:eastAsiaTheme="minorHAnsi" w:hAnsi="Arial" w:cs="Arial"/>
          <w:color w:val="auto"/>
          <w:sz w:val="22"/>
          <w:szCs w:val="22"/>
        </w:rPr>
        <w:t xml:space="preserve">to be </w:t>
      </w:r>
      <w:r w:rsidR="003C528F">
        <w:rPr>
          <w:rFonts w:ascii="Arial" w:eastAsiaTheme="minorHAnsi" w:hAnsi="Arial" w:cs="Arial"/>
          <w:color w:val="auto"/>
          <w:sz w:val="22"/>
          <w:szCs w:val="22"/>
        </w:rPr>
        <w:t xml:space="preserve">presumed </w:t>
      </w:r>
      <w:r w:rsidR="002F3025">
        <w:rPr>
          <w:rFonts w:ascii="Arial" w:eastAsiaTheme="minorHAnsi" w:hAnsi="Arial" w:cs="Arial"/>
          <w:color w:val="auto"/>
          <w:sz w:val="22"/>
          <w:szCs w:val="22"/>
        </w:rPr>
        <w:t xml:space="preserve">to be </w:t>
      </w:r>
      <w:r w:rsidR="00036D2E">
        <w:rPr>
          <w:rFonts w:ascii="Arial" w:eastAsiaTheme="minorHAnsi" w:hAnsi="Arial" w:cs="Arial"/>
          <w:color w:val="auto"/>
          <w:sz w:val="22"/>
          <w:szCs w:val="22"/>
        </w:rPr>
        <w:t>agreed</w:t>
      </w:r>
      <w:r w:rsidR="003C528F">
        <w:rPr>
          <w:rFonts w:ascii="Arial" w:eastAsiaTheme="minorHAnsi" w:hAnsi="Arial" w:cs="Arial"/>
          <w:color w:val="auto"/>
          <w:sz w:val="22"/>
          <w:szCs w:val="22"/>
        </w:rPr>
        <w:t xml:space="preserve"> to</w:t>
      </w:r>
      <w:r w:rsidR="0076230A">
        <w:rPr>
          <w:rFonts w:ascii="Arial" w:eastAsiaTheme="minorHAnsi" w:hAnsi="Arial" w:cs="Arial"/>
          <w:color w:val="auto"/>
          <w:sz w:val="22"/>
          <w:szCs w:val="22"/>
        </w:rPr>
        <w:t xml:space="preserve"> if not objected to within three business days.  If providers are not required to </w:t>
      </w:r>
      <w:r w:rsidR="00036D2E">
        <w:rPr>
          <w:rFonts w:ascii="Arial" w:eastAsiaTheme="minorHAnsi" w:hAnsi="Arial" w:cs="Arial"/>
          <w:color w:val="auto"/>
          <w:sz w:val="22"/>
          <w:szCs w:val="22"/>
        </w:rPr>
        <w:t xml:space="preserve">submit requests via </w:t>
      </w:r>
      <w:r w:rsidR="0076230A">
        <w:rPr>
          <w:rFonts w:ascii="Arial" w:eastAsiaTheme="minorHAnsi" w:hAnsi="Arial" w:cs="Arial"/>
          <w:color w:val="auto"/>
          <w:sz w:val="22"/>
          <w:szCs w:val="22"/>
        </w:rPr>
        <w:t>a standard request form</w:t>
      </w:r>
      <w:r w:rsidR="00036D2E">
        <w:rPr>
          <w:rFonts w:ascii="Arial" w:eastAsiaTheme="minorHAnsi" w:hAnsi="Arial" w:cs="Arial"/>
          <w:color w:val="auto"/>
          <w:sz w:val="22"/>
          <w:szCs w:val="22"/>
        </w:rPr>
        <w:t>, t</w:t>
      </w:r>
      <w:r w:rsidR="0076230A">
        <w:rPr>
          <w:rFonts w:ascii="Arial" w:eastAsiaTheme="minorHAnsi" w:hAnsi="Arial" w:cs="Arial"/>
          <w:color w:val="auto"/>
          <w:sz w:val="22"/>
          <w:szCs w:val="22"/>
        </w:rPr>
        <w:t>he claims administrator</w:t>
      </w:r>
      <w:r w:rsidR="00036D2E">
        <w:rPr>
          <w:rFonts w:ascii="Arial" w:eastAsiaTheme="minorHAnsi" w:hAnsi="Arial" w:cs="Arial"/>
          <w:color w:val="auto"/>
          <w:sz w:val="22"/>
          <w:szCs w:val="22"/>
        </w:rPr>
        <w:t xml:space="preserve"> may not</w:t>
      </w:r>
      <w:r w:rsidR="00DA2BAE">
        <w:rPr>
          <w:rFonts w:ascii="Arial" w:eastAsiaTheme="minorHAnsi" w:hAnsi="Arial" w:cs="Arial"/>
          <w:color w:val="auto"/>
          <w:sz w:val="22"/>
          <w:szCs w:val="22"/>
        </w:rPr>
        <w:t xml:space="preserve"> be able to</w:t>
      </w:r>
      <w:r w:rsidR="00036D2E">
        <w:rPr>
          <w:rFonts w:ascii="Arial" w:eastAsiaTheme="minorHAnsi" w:hAnsi="Arial" w:cs="Arial"/>
          <w:color w:val="auto"/>
          <w:sz w:val="22"/>
          <w:szCs w:val="22"/>
        </w:rPr>
        <w:t xml:space="preserve"> identify a request</w:t>
      </w:r>
      <w:r w:rsidR="00DA2BAE">
        <w:rPr>
          <w:rFonts w:ascii="Arial" w:eastAsiaTheme="minorHAnsi" w:hAnsi="Arial" w:cs="Arial"/>
          <w:color w:val="auto"/>
          <w:sz w:val="22"/>
          <w:szCs w:val="22"/>
        </w:rPr>
        <w:t xml:space="preserve"> or </w:t>
      </w:r>
      <w:r w:rsidR="00377E20">
        <w:rPr>
          <w:rFonts w:ascii="Arial" w:eastAsiaTheme="minorHAnsi" w:hAnsi="Arial" w:cs="Arial"/>
          <w:color w:val="auto"/>
          <w:sz w:val="22"/>
          <w:szCs w:val="22"/>
        </w:rPr>
        <w:t xml:space="preserve">may </w:t>
      </w:r>
      <w:r w:rsidR="00DA2BAE">
        <w:rPr>
          <w:rFonts w:ascii="Arial" w:eastAsiaTheme="minorHAnsi" w:hAnsi="Arial" w:cs="Arial"/>
          <w:color w:val="auto"/>
          <w:sz w:val="22"/>
          <w:szCs w:val="22"/>
        </w:rPr>
        <w:t>not be able to identify such a request timely</w:t>
      </w:r>
      <w:r w:rsidR="004662FE">
        <w:rPr>
          <w:rFonts w:ascii="Arial" w:eastAsiaTheme="minorHAnsi" w:hAnsi="Arial" w:cs="Arial"/>
          <w:color w:val="auto"/>
          <w:sz w:val="22"/>
          <w:szCs w:val="22"/>
        </w:rPr>
        <w:t>, and that will generate unnecessary</w:t>
      </w:r>
      <w:r w:rsidR="00DA2BAE">
        <w:rPr>
          <w:rFonts w:ascii="Arial" w:eastAsiaTheme="minorHAnsi" w:hAnsi="Arial" w:cs="Arial"/>
          <w:color w:val="auto"/>
          <w:sz w:val="22"/>
          <w:szCs w:val="22"/>
        </w:rPr>
        <w:t xml:space="preserve"> </w:t>
      </w:r>
      <w:r w:rsidR="004662FE">
        <w:rPr>
          <w:rFonts w:ascii="Arial" w:eastAsiaTheme="minorHAnsi" w:hAnsi="Arial" w:cs="Arial"/>
          <w:color w:val="auto"/>
          <w:sz w:val="22"/>
          <w:szCs w:val="22"/>
        </w:rPr>
        <w:t>treatment delays, disputes and penalties</w:t>
      </w:r>
      <w:r w:rsidR="00DA2BAE">
        <w:rPr>
          <w:rFonts w:ascii="Arial" w:eastAsiaTheme="minorHAnsi" w:hAnsi="Arial" w:cs="Arial"/>
          <w:color w:val="auto"/>
          <w:sz w:val="22"/>
          <w:szCs w:val="22"/>
        </w:rPr>
        <w:t>.</w:t>
      </w:r>
      <w:r w:rsidR="0087080D">
        <w:rPr>
          <w:rFonts w:ascii="Arial" w:eastAsiaTheme="minorHAnsi" w:hAnsi="Arial" w:cs="Arial"/>
          <w:color w:val="auto"/>
          <w:sz w:val="22"/>
          <w:szCs w:val="22"/>
        </w:rPr>
        <w:t xml:space="preserve">  </w:t>
      </w:r>
      <w:r w:rsidR="00B042DB">
        <w:rPr>
          <w:rFonts w:ascii="Arial" w:eastAsiaTheme="minorHAnsi" w:hAnsi="Arial" w:cs="Arial"/>
          <w:color w:val="auto"/>
          <w:sz w:val="22"/>
          <w:szCs w:val="22"/>
        </w:rPr>
        <w:t>Many p</w:t>
      </w:r>
      <w:r w:rsidR="0087080D">
        <w:rPr>
          <w:rFonts w:ascii="Arial" w:eastAsiaTheme="minorHAnsi" w:hAnsi="Arial" w:cs="Arial"/>
          <w:color w:val="auto"/>
          <w:sz w:val="22"/>
          <w:szCs w:val="22"/>
        </w:rPr>
        <w:t xml:space="preserve">hysicians object to completing and submitting two separate forms – the Primary Treating Physician’s Progress Report (PR-2) and the </w:t>
      </w:r>
      <w:r w:rsidR="00224356">
        <w:rPr>
          <w:rFonts w:ascii="Arial" w:eastAsiaTheme="minorHAnsi" w:hAnsi="Arial" w:cs="Arial"/>
          <w:color w:val="auto"/>
          <w:sz w:val="22"/>
          <w:szCs w:val="22"/>
        </w:rPr>
        <w:t xml:space="preserve">Request </w:t>
      </w:r>
      <w:r w:rsidR="00FA25D9">
        <w:rPr>
          <w:rFonts w:ascii="Arial" w:eastAsiaTheme="minorHAnsi" w:hAnsi="Arial" w:cs="Arial"/>
          <w:color w:val="auto"/>
          <w:sz w:val="22"/>
          <w:szCs w:val="22"/>
        </w:rPr>
        <w:t>f</w:t>
      </w:r>
      <w:r w:rsidR="00224356">
        <w:rPr>
          <w:rFonts w:ascii="Arial" w:eastAsiaTheme="minorHAnsi" w:hAnsi="Arial" w:cs="Arial"/>
          <w:color w:val="auto"/>
          <w:sz w:val="22"/>
          <w:szCs w:val="22"/>
        </w:rPr>
        <w:t>or Authorization (</w:t>
      </w:r>
      <w:r w:rsidR="0087080D">
        <w:rPr>
          <w:rFonts w:ascii="Arial" w:eastAsiaTheme="minorHAnsi" w:hAnsi="Arial" w:cs="Arial"/>
          <w:color w:val="auto"/>
          <w:sz w:val="22"/>
          <w:szCs w:val="22"/>
        </w:rPr>
        <w:t>DW</w:t>
      </w:r>
      <w:r w:rsidR="00224356">
        <w:rPr>
          <w:rFonts w:ascii="Arial" w:eastAsiaTheme="minorHAnsi" w:hAnsi="Arial" w:cs="Arial"/>
          <w:color w:val="auto"/>
          <w:sz w:val="22"/>
          <w:szCs w:val="22"/>
        </w:rPr>
        <w:t xml:space="preserve">C Form RFA).  </w:t>
      </w:r>
      <w:r w:rsidR="0087080D">
        <w:rPr>
          <w:rFonts w:ascii="Arial" w:eastAsiaTheme="minorHAnsi" w:hAnsi="Arial" w:cs="Arial"/>
          <w:color w:val="auto"/>
          <w:sz w:val="22"/>
          <w:szCs w:val="22"/>
        </w:rPr>
        <w:t>Instead the Institute recommends</w:t>
      </w:r>
      <w:r w:rsidR="00224356">
        <w:rPr>
          <w:rFonts w:ascii="Arial" w:eastAsiaTheme="minorHAnsi" w:hAnsi="Arial" w:cs="Arial"/>
          <w:color w:val="auto"/>
          <w:sz w:val="22"/>
          <w:szCs w:val="22"/>
        </w:rPr>
        <w:t xml:space="preserve"> integrating the two forms into </w:t>
      </w:r>
      <w:r w:rsidR="00FA25D9">
        <w:rPr>
          <w:rFonts w:ascii="Arial" w:eastAsiaTheme="minorHAnsi" w:hAnsi="Arial" w:cs="Arial"/>
          <w:color w:val="auto"/>
          <w:sz w:val="22"/>
          <w:szCs w:val="22"/>
        </w:rPr>
        <w:t xml:space="preserve">a single </w:t>
      </w:r>
      <w:r w:rsidR="00224356">
        <w:rPr>
          <w:rFonts w:ascii="Arial" w:eastAsiaTheme="minorHAnsi" w:hAnsi="Arial" w:cs="Arial"/>
          <w:color w:val="auto"/>
          <w:sz w:val="22"/>
          <w:szCs w:val="22"/>
        </w:rPr>
        <w:t>DWC Form RFA/PR-2.</w:t>
      </w:r>
      <w:r w:rsidRPr="00CE11AE">
        <w:rPr>
          <w:rFonts w:ascii="Arial" w:eastAsiaTheme="minorHAnsi" w:hAnsi="Arial" w:cs="Arial"/>
          <w:color w:val="auto"/>
          <w:sz w:val="22"/>
          <w:szCs w:val="22"/>
        </w:rPr>
        <w:t xml:space="preserve"> </w:t>
      </w:r>
      <w:r w:rsidR="006A5273">
        <w:rPr>
          <w:rFonts w:ascii="Arial" w:eastAsiaTheme="minorHAnsi" w:hAnsi="Arial" w:cs="Arial"/>
          <w:color w:val="auto"/>
          <w:sz w:val="22"/>
          <w:szCs w:val="22"/>
        </w:rPr>
        <w:t xml:space="preserve"> This will eliminate duplication and</w:t>
      </w:r>
      <w:r w:rsidR="006A5273" w:rsidRPr="00CE11AE">
        <w:rPr>
          <w:rFonts w:ascii="Arial" w:eastAsiaTheme="minorHAnsi" w:hAnsi="Arial" w:cs="Arial"/>
          <w:color w:val="auto"/>
          <w:sz w:val="22"/>
          <w:szCs w:val="22"/>
        </w:rPr>
        <w:t xml:space="preserve"> redundancy</w:t>
      </w:r>
      <w:r w:rsidR="006A5273">
        <w:rPr>
          <w:rFonts w:ascii="Arial" w:eastAsiaTheme="minorHAnsi" w:hAnsi="Arial" w:cs="Arial"/>
          <w:color w:val="auto"/>
          <w:sz w:val="22"/>
          <w:szCs w:val="22"/>
        </w:rPr>
        <w:t xml:space="preserve">. </w:t>
      </w:r>
      <w:r w:rsidR="006A5273" w:rsidRPr="00CE11AE">
        <w:rPr>
          <w:rFonts w:ascii="Arial" w:eastAsiaTheme="minorHAnsi" w:hAnsi="Arial" w:cs="Arial"/>
          <w:color w:val="auto"/>
          <w:sz w:val="22"/>
          <w:szCs w:val="22"/>
        </w:rPr>
        <w:t xml:space="preserve"> </w:t>
      </w:r>
    </w:p>
    <w:p w:rsidR="00355DCD" w:rsidRPr="00CE11AE" w:rsidRDefault="00355DCD" w:rsidP="00355DCD">
      <w:pPr>
        <w:rPr>
          <w:rFonts w:ascii="Arial" w:eastAsia="Calibri" w:hAnsi="Arial" w:cs="Arial"/>
          <w:color w:val="auto"/>
          <w:sz w:val="22"/>
          <w:szCs w:val="22"/>
        </w:rPr>
      </w:pPr>
    </w:p>
    <w:p w:rsidR="003E763C" w:rsidRPr="00CE11AE" w:rsidRDefault="003E763C" w:rsidP="003E763C">
      <w:pPr>
        <w:rPr>
          <w:rFonts w:ascii="Arial" w:eastAsiaTheme="minorHAnsi" w:hAnsi="Arial" w:cs="Arial"/>
          <w:color w:val="auto"/>
          <w:sz w:val="22"/>
          <w:szCs w:val="22"/>
        </w:rPr>
      </w:pPr>
      <w:r w:rsidRPr="00CE11AE">
        <w:rPr>
          <w:rFonts w:ascii="Arial" w:eastAsia="Calibri" w:hAnsi="Arial" w:cs="Arial"/>
          <w:color w:val="auto"/>
          <w:sz w:val="22"/>
          <w:szCs w:val="22"/>
        </w:rPr>
        <w:t xml:space="preserve">The IMR </w:t>
      </w:r>
      <w:r>
        <w:rPr>
          <w:rFonts w:ascii="Arial" w:eastAsia="Calibri" w:hAnsi="Arial" w:cs="Arial"/>
          <w:color w:val="auto"/>
          <w:sz w:val="22"/>
          <w:szCs w:val="22"/>
        </w:rPr>
        <w:t>application</w:t>
      </w:r>
      <w:r w:rsidRPr="00CE11AE">
        <w:rPr>
          <w:rFonts w:ascii="Arial" w:eastAsia="Calibri" w:hAnsi="Arial" w:cs="Arial"/>
          <w:color w:val="auto"/>
          <w:sz w:val="22"/>
          <w:szCs w:val="22"/>
        </w:rPr>
        <w:t xml:space="preserve"> form initiates the </w:t>
      </w:r>
      <w:r>
        <w:rPr>
          <w:rFonts w:ascii="Arial" w:eastAsia="Calibri" w:hAnsi="Arial" w:cs="Arial"/>
          <w:color w:val="auto"/>
          <w:sz w:val="22"/>
          <w:szCs w:val="22"/>
        </w:rPr>
        <w:t xml:space="preserve">IMR </w:t>
      </w:r>
      <w:r w:rsidRPr="00CE11AE">
        <w:rPr>
          <w:rFonts w:ascii="Arial" w:eastAsia="Calibri" w:hAnsi="Arial" w:cs="Arial"/>
          <w:color w:val="auto"/>
          <w:sz w:val="22"/>
          <w:szCs w:val="22"/>
        </w:rPr>
        <w:t xml:space="preserve">process and must be reviewed </w:t>
      </w:r>
      <w:r>
        <w:rPr>
          <w:rFonts w:ascii="Arial" w:eastAsia="Calibri" w:hAnsi="Arial" w:cs="Arial"/>
          <w:color w:val="auto"/>
          <w:sz w:val="22"/>
          <w:szCs w:val="22"/>
        </w:rPr>
        <w:t xml:space="preserve">for eligibility </w:t>
      </w:r>
      <w:r w:rsidRPr="00CE11AE">
        <w:rPr>
          <w:rFonts w:ascii="Arial" w:eastAsia="Calibri" w:hAnsi="Arial" w:cs="Arial"/>
          <w:color w:val="auto"/>
          <w:sz w:val="22"/>
          <w:szCs w:val="22"/>
        </w:rPr>
        <w:t xml:space="preserve">by the </w:t>
      </w:r>
      <w:r>
        <w:rPr>
          <w:rFonts w:ascii="Arial" w:eastAsia="Calibri" w:hAnsi="Arial" w:cs="Arial"/>
          <w:color w:val="auto"/>
          <w:sz w:val="22"/>
          <w:szCs w:val="22"/>
        </w:rPr>
        <w:t>Administrative Director or her</w:t>
      </w:r>
      <w:r w:rsidRPr="00CE11AE">
        <w:rPr>
          <w:rFonts w:ascii="Arial" w:eastAsia="Calibri" w:hAnsi="Arial" w:cs="Arial"/>
          <w:color w:val="auto"/>
          <w:sz w:val="22"/>
          <w:szCs w:val="22"/>
        </w:rPr>
        <w:t xml:space="preserve"> impartial, disinterested </w:t>
      </w:r>
      <w:r>
        <w:rPr>
          <w:rFonts w:ascii="Arial" w:eastAsia="Calibri" w:hAnsi="Arial" w:cs="Arial"/>
          <w:color w:val="auto"/>
          <w:sz w:val="22"/>
          <w:szCs w:val="22"/>
        </w:rPr>
        <w:t xml:space="preserve">designee </w:t>
      </w:r>
      <w:r w:rsidRPr="00CE11AE">
        <w:rPr>
          <w:rFonts w:ascii="Arial" w:eastAsia="Calibri" w:hAnsi="Arial" w:cs="Arial"/>
          <w:color w:val="auto"/>
          <w:sz w:val="22"/>
          <w:szCs w:val="22"/>
        </w:rPr>
        <w:t xml:space="preserve">before being </w:t>
      </w:r>
      <w:r>
        <w:rPr>
          <w:rFonts w:ascii="Arial" w:eastAsia="Calibri" w:hAnsi="Arial" w:cs="Arial"/>
          <w:color w:val="auto"/>
          <w:sz w:val="22"/>
          <w:szCs w:val="22"/>
        </w:rPr>
        <w:t>assigned</w:t>
      </w:r>
      <w:r w:rsidRPr="00CE11AE">
        <w:rPr>
          <w:rFonts w:ascii="Arial" w:eastAsia="Calibri" w:hAnsi="Arial" w:cs="Arial"/>
          <w:color w:val="auto"/>
          <w:sz w:val="22"/>
          <w:szCs w:val="22"/>
        </w:rPr>
        <w:t xml:space="preserve"> to the IMR contractor, wh</w:t>
      </w:r>
      <w:r>
        <w:rPr>
          <w:rFonts w:ascii="Arial" w:eastAsia="Calibri" w:hAnsi="Arial" w:cs="Arial"/>
          <w:color w:val="auto"/>
          <w:sz w:val="22"/>
          <w:szCs w:val="22"/>
        </w:rPr>
        <w:t>ich</w:t>
      </w:r>
      <w:r w:rsidRPr="00CE11AE">
        <w:rPr>
          <w:rFonts w:ascii="Arial" w:eastAsia="Calibri" w:hAnsi="Arial" w:cs="Arial"/>
          <w:color w:val="auto"/>
          <w:sz w:val="22"/>
          <w:szCs w:val="22"/>
        </w:rPr>
        <w:t xml:space="preserve"> has a clear financial interest in the review.</w:t>
      </w:r>
      <w:r w:rsidRPr="00CE11AE">
        <w:rPr>
          <w:rFonts w:ascii="Arial" w:eastAsia="Calibri" w:hAnsi="Arial" w:cs="Arial"/>
          <w:color w:val="auto"/>
          <w:sz w:val="22"/>
          <w:szCs w:val="22"/>
          <w:shd w:val="clear" w:color="auto" w:fill="FFFFFF"/>
        </w:rPr>
        <w:t xml:space="preserve">  </w:t>
      </w:r>
      <w:r w:rsidR="00FE03DE" w:rsidRPr="00FE03DE">
        <w:rPr>
          <w:rFonts w:ascii="Arial" w:eastAsia="Calibri" w:hAnsi="Arial" w:cs="Arial"/>
          <w:color w:val="auto"/>
          <w:sz w:val="22"/>
          <w:szCs w:val="22"/>
          <w:shd w:val="clear" w:color="auto" w:fill="FFFFFF"/>
        </w:rPr>
        <w:t xml:space="preserve">Doing so will also help </w:t>
      </w:r>
      <w:r w:rsidR="002F3025">
        <w:rPr>
          <w:rFonts w:ascii="Arial" w:eastAsia="Calibri" w:hAnsi="Arial" w:cs="Arial"/>
          <w:color w:val="auto"/>
          <w:sz w:val="22"/>
          <w:szCs w:val="22"/>
          <w:shd w:val="clear" w:color="auto" w:fill="FFFFFF"/>
        </w:rPr>
        <w:t>reduce</w:t>
      </w:r>
      <w:r w:rsidR="00FE03DE" w:rsidRPr="00FE03DE">
        <w:rPr>
          <w:rFonts w:ascii="Arial" w:eastAsia="Calibri" w:hAnsi="Arial" w:cs="Arial"/>
          <w:color w:val="auto"/>
          <w:sz w:val="22"/>
          <w:szCs w:val="22"/>
          <w:shd w:val="clear" w:color="auto" w:fill="FFFFFF"/>
        </w:rPr>
        <w:t xml:space="preserve"> the large backlog of</w:t>
      </w:r>
      <w:r w:rsidR="00FE03DE">
        <w:rPr>
          <w:rFonts w:ascii="Arial" w:eastAsia="Calibri" w:hAnsi="Arial" w:cs="Arial"/>
          <w:color w:val="auto"/>
          <w:sz w:val="22"/>
          <w:szCs w:val="22"/>
          <w:shd w:val="clear" w:color="auto" w:fill="FFFFFF"/>
        </w:rPr>
        <w:t xml:space="preserve"> pending</w:t>
      </w:r>
      <w:r w:rsidR="00FE03DE" w:rsidRPr="00FE03DE">
        <w:rPr>
          <w:rFonts w:ascii="Arial" w:eastAsia="Calibri" w:hAnsi="Arial" w:cs="Arial"/>
          <w:color w:val="auto"/>
          <w:sz w:val="22"/>
          <w:szCs w:val="22"/>
          <w:shd w:val="clear" w:color="auto" w:fill="FFFFFF"/>
        </w:rPr>
        <w:t xml:space="preserve"> independent medical reviews.</w:t>
      </w:r>
      <w:r w:rsidR="00FE03DE">
        <w:rPr>
          <w:rFonts w:ascii="Arial" w:eastAsia="Calibri" w:hAnsi="Arial" w:cs="Arial"/>
          <w:color w:val="auto"/>
          <w:sz w:val="22"/>
          <w:szCs w:val="22"/>
          <w:shd w:val="clear" w:color="auto" w:fill="FFFFFF"/>
        </w:rPr>
        <w:t xml:space="preserve">  </w:t>
      </w:r>
      <w:r w:rsidRPr="00CE11AE">
        <w:rPr>
          <w:rFonts w:ascii="Arial" w:eastAsia="Calibri" w:hAnsi="Arial" w:cs="Arial"/>
          <w:color w:val="auto"/>
          <w:sz w:val="22"/>
          <w:szCs w:val="22"/>
          <w:shd w:val="clear" w:color="auto" w:fill="FFFFFF"/>
        </w:rPr>
        <w:t xml:space="preserve">A physician’s failure to properly complete the </w:t>
      </w:r>
      <w:r w:rsidR="002A391C">
        <w:rPr>
          <w:rFonts w:ascii="Arial" w:eastAsia="Calibri" w:hAnsi="Arial" w:cs="Arial"/>
          <w:color w:val="auto"/>
          <w:sz w:val="22"/>
          <w:szCs w:val="22"/>
          <w:shd w:val="clear" w:color="auto" w:fill="FFFFFF"/>
        </w:rPr>
        <w:t>Utilization Review (</w:t>
      </w:r>
      <w:r w:rsidRPr="00CE11AE">
        <w:rPr>
          <w:rFonts w:ascii="Arial" w:eastAsia="Calibri" w:hAnsi="Arial" w:cs="Arial"/>
          <w:color w:val="auto"/>
          <w:sz w:val="22"/>
          <w:szCs w:val="22"/>
          <w:shd w:val="clear" w:color="auto" w:fill="FFFFFF"/>
        </w:rPr>
        <w:t>UR</w:t>
      </w:r>
      <w:r w:rsidR="002A391C">
        <w:rPr>
          <w:rFonts w:ascii="Arial" w:eastAsia="Calibri" w:hAnsi="Arial" w:cs="Arial"/>
          <w:color w:val="auto"/>
          <w:sz w:val="22"/>
          <w:szCs w:val="22"/>
          <w:shd w:val="clear" w:color="auto" w:fill="FFFFFF"/>
        </w:rPr>
        <w:t>)</w:t>
      </w:r>
      <w:r w:rsidRPr="00CE11AE">
        <w:rPr>
          <w:rFonts w:ascii="Arial" w:eastAsia="Calibri" w:hAnsi="Arial" w:cs="Arial"/>
          <w:color w:val="auto"/>
          <w:sz w:val="22"/>
          <w:szCs w:val="22"/>
          <w:shd w:val="clear" w:color="auto" w:fill="FFFFFF"/>
        </w:rPr>
        <w:t xml:space="preserve"> process should not be grounds for an independent medical review.  </w:t>
      </w:r>
      <w:r>
        <w:rPr>
          <w:rFonts w:ascii="Arial" w:eastAsia="Calibri" w:hAnsi="Arial" w:cs="Arial"/>
          <w:color w:val="auto"/>
          <w:sz w:val="22"/>
          <w:szCs w:val="22"/>
          <w:shd w:val="clear" w:color="auto" w:fill="FFFFFF"/>
        </w:rPr>
        <w:t>We also note that e</w:t>
      </w:r>
      <w:r w:rsidRPr="00CE11AE">
        <w:rPr>
          <w:rFonts w:ascii="Arial" w:eastAsia="Calibri" w:hAnsi="Arial" w:cs="Arial"/>
          <w:color w:val="auto"/>
          <w:sz w:val="22"/>
          <w:szCs w:val="22"/>
        </w:rPr>
        <w:t xml:space="preserve">xpedited review is reserved, by statute, for medical emergencies and </w:t>
      </w:r>
      <w:r>
        <w:rPr>
          <w:rFonts w:ascii="Arial" w:eastAsia="Calibri" w:hAnsi="Arial" w:cs="Arial"/>
          <w:color w:val="auto"/>
          <w:sz w:val="22"/>
          <w:szCs w:val="22"/>
        </w:rPr>
        <w:t xml:space="preserve">believe </w:t>
      </w:r>
      <w:r w:rsidRPr="00CE11AE">
        <w:rPr>
          <w:rFonts w:ascii="Arial" w:eastAsia="Calibri" w:hAnsi="Arial" w:cs="Arial"/>
          <w:color w:val="auto"/>
          <w:sz w:val="22"/>
          <w:szCs w:val="22"/>
        </w:rPr>
        <w:t>there should be a consequence for filing an expedited review in bad faith.</w:t>
      </w:r>
    </w:p>
    <w:p w:rsidR="003E763C" w:rsidRPr="00CE11AE" w:rsidRDefault="003E763C" w:rsidP="003E763C">
      <w:pPr>
        <w:rPr>
          <w:rFonts w:ascii="Arial" w:eastAsiaTheme="minorHAnsi" w:hAnsi="Arial" w:cs="Arial"/>
          <w:color w:val="auto"/>
          <w:sz w:val="22"/>
          <w:szCs w:val="22"/>
        </w:rPr>
      </w:pPr>
    </w:p>
    <w:p w:rsidR="007D5AF5" w:rsidRPr="00CE11AE" w:rsidRDefault="00285043" w:rsidP="007D5AF5">
      <w:pPr>
        <w:rPr>
          <w:rFonts w:ascii="Arial" w:eastAsia="Calibri" w:hAnsi="Arial" w:cs="Arial"/>
          <w:color w:val="auto"/>
          <w:sz w:val="22"/>
          <w:szCs w:val="22"/>
          <w:shd w:val="clear" w:color="auto" w:fill="FFFFFF"/>
        </w:rPr>
      </w:pPr>
      <w:r>
        <w:rPr>
          <w:rFonts w:ascii="Arial" w:eastAsia="Calibri" w:hAnsi="Arial" w:cs="Arial"/>
          <w:color w:val="auto"/>
          <w:sz w:val="22"/>
          <w:szCs w:val="22"/>
          <w:shd w:val="clear" w:color="auto" w:fill="FFFFFF"/>
        </w:rPr>
        <w:t xml:space="preserve">The standards for utilization review need to be consistent with the standards for independent medical review.  </w:t>
      </w:r>
      <w:r w:rsidR="00610A08">
        <w:rPr>
          <w:rFonts w:ascii="Arial" w:eastAsia="Calibri" w:hAnsi="Arial" w:cs="Arial"/>
          <w:color w:val="auto"/>
          <w:sz w:val="22"/>
          <w:szCs w:val="22"/>
          <w:shd w:val="clear" w:color="auto" w:fill="FFFFFF"/>
        </w:rPr>
        <w:t>I</w:t>
      </w:r>
      <w:r w:rsidR="007D5AF5" w:rsidRPr="00CE11AE">
        <w:rPr>
          <w:rFonts w:ascii="Arial" w:eastAsia="Calibri" w:hAnsi="Arial" w:cs="Arial"/>
          <w:color w:val="auto"/>
          <w:sz w:val="22"/>
          <w:szCs w:val="22"/>
          <w:shd w:val="clear" w:color="auto" w:fill="FFFFFF"/>
        </w:rPr>
        <w:t>t is essential that the medical standards adopted by the Legislature</w:t>
      </w:r>
      <w:r w:rsidR="007D5AF5">
        <w:rPr>
          <w:rFonts w:ascii="Arial" w:eastAsia="Calibri" w:hAnsi="Arial" w:cs="Arial"/>
          <w:color w:val="auto"/>
          <w:sz w:val="22"/>
          <w:szCs w:val="22"/>
          <w:shd w:val="clear" w:color="auto" w:fill="FFFFFF"/>
        </w:rPr>
        <w:t>, which are founded on evidence-</w:t>
      </w:r>
      <w:r w:rsidR="007D5AF5" w:rsidRPr="00CE11AE">
        <w:rPr>
          <w:rFonts w:ascii="Arial" w:eastAsia="Calibri" w:hAnsi="Arial" w:cs="Arial"/>
          <w:color w:val="auto"/>
          <w:sz w:val="22"/>
          <w:szCs w:val="22"/>
          <w:shd w:val="clear" w:color="auto" w:fill="FFFFFF"/>
        </w:rPr>
        <w:t xml:space="preserve">based medicine, </w:t>
      </w:r>
      <w:r w:rsidR="00610A08">
        <w:rPr>
          <w:rFonts w:ascii="Arial" w:eastAsia="Calibri" w:hAnsi="Arial" w:cs="Arial"/>
          <w:color w:val="auto"/>
          <w:sz w:val="22"/>
          <w:szCs w:val="22"/>
          <w:shd w:val="clear" w:color="auto" w:fill="FFFFFF"/>
        </w:rPr>
        <w:t>are</w:t>
      </w:r>
      <w:r w:rsidR="007D5AF5" w:rsidRPr="00CE11AE">
        <w:rPr>
          <w:rFonts w:ascii="Arial" w:eastAsia="Calibri" w:hAnsi="Arial" w:cs="Arial"/>
          <w:color w:val="auto"/>
          <w:sz w:val="22"/>
          <w:szCs w:val="22"/>
          <w:shd w:val="clear" w:color="auto" w:fill="FFFFFF"/>
        </w:rPr>
        <w:t xml:space="preserve"> strictly applied</w:t>
      </w:r>
      <w:r w:rsidR="00610A08" w:rsidRPr="00610A08">
        <w:rPr>
          <w:rFonts w:ascii="Arial" w:eastAsia="Calibri" w:hAnsi="Arial" w:cs="Arial"/>
          <w:color w:val="auto"/>
          <w:sz w:val="22"/>
          <w:szCs w:val="22"/>
          <w:shd w:val="clear" w:color="auto" w:fill="FFFFFF"/>
        </w:rPr>
        <w:t xml:space="preserve"> </w:t>
      </w:r>
      <w:r w:rsidR="00610A08">
        <w:rPr>
          <w:rFonts w:ascii="Arial" w:eastAsia="Calibri" w:hAnsi="Arial" w:cs="Arial"/>
          <w:color w:val="auto"/>
          <w:sz w:val="22"/>
          <w:szCs w:val="22"/>
          <w:shd w:val="clear" w:color="auto" w:fill="FFFFFF"/>
        </w:rPr>
        <w:t>f</w:t>
      </w:r>
      <w:r w:rsidR="00610A08" w:rsidRPr="00CE11AE">
        <w:rPr>
          <w:rFonts w:ascii="Arial" w:eastAsia="Calibri" w:hAnsi="Arial" w:cs="Arial"/>
          <w:color w:val="auto"/>
          <w:sz w:val="22"/>
          <w:szCs w:val="22"/>
          <w:shd w:val="clear" w:color="auto" w:fill="FFFFFF"/>
        </w:rPr>
        <w:t>or utilization review</w:t>
      </w:r>
      <w:r w:rsidR="003E49EF">
        <w:rPr>
          <w:rFonts w:ascii="Arial" w:eastAsia="Calibri" w:hAnsi="Arial" w:cs="Arial"/>
          <w:color w:val="auto"/>
          <w:sz w:val="22"/>
          <w:szCs w:val="22"/>
          <w:shd w:val="clear" w:color="auto" w:fill="FFFFFF"/>
        </w:rPr>
        <w:t xml:space="preserve">, </w:t>
      </w:r>
      <w:r w:rsidR="00A51D00">
        <w:rPr>
          <w:rFonts w:ascii="Arial" w:eastAsia="Calibri" w:hAnsi="Arial" w:cs="Arial"/>
          <w:color w:val="auto"/>
          <w:sz w:val="22"/>
          <w:szCs w:val="22"/>
          <w:shd w:val="clear" w:color="auto" w:fill="FFFFFF"/>
        </w:rPr>
        <w:t xml:space="preserve">and </w:t>
      </w:r>
      <w:r w:rsidR="003E49EF">
        <w:rPr>
          <w:rFonts w:ascii="Arial" w:eastAsia="Calibri" w:hAnsi="Arial" w:cs="Arial"/>
          <w:color w:val="auto"/>
          <w:sz w:val="22"/>
          <w:szCs w:val="22"/>
          <w:shd w:val="clear" w:color="auto" w:fill="FFFFFF"/>
        </w:rPr>
        <w:t>harmonize with the standards for Independent Medical Review (IMR).</w:t>
      </w:r>
      <w:r w:rsidR="007D5AF5" w:rsidRPr="00CE11AE">
        <w:rPr>
          <w:rFonts w:ascii="Arial" w:eastAsia="Calibri" w:hAnsi="Arial" w:cs="Arial"/>
          <w:color w:val="auto"/>
          <w:sz w:val="22"/>
          <w:szCs w:val="22"/>
          <w:shd w:val="clear" w:color="auto" w:fill="FFFFFF"/>
        </w:rPr>
        <w:t xml:space="preserve">  </w:t>
      </w:r>
      <w:r w:rsidR="007D5AF5">
        <w:rPr>
          <w:rFonts w:ascii="Arial" w:eastAsia="Calibri" w:hAnsi="Arial" w:cs="Arial"/>
          <w:color w:val="auto"/>
          <w:sz w:val="22"/>
          <w:szCs w:val="22"/>
          <w:shd w:val="clear" w:color="auto" w:fill="FFFFFF"/>
        </w:rPr>
        <w:t>E</w:t>
      </w:r>
      <w:r w:rsidR="007D5AF5" w:rsidRPr="00CE11AE">
        <w:rPr>
          <w:rFonts w:ascii="Arial" w:eastAsia="Calibri" w:hAnsi="Arial" w:cs="Arial"/>
          <w:color w:val="auto"/>
          <w:sz w:val="22"/>
          <w:szCs w:val="22"/>
          <w:shd w:val="clear" w:color="auto" w:fill="FFFFFF"/>
        </w:rPr>
        <w:t>xpert opinion, generally accepted standards of medical practice, or treatments likely to provide a benefit to the patient for which other treatments are not clinically efficacious</w:t>
      </w:r>
      <w:r w:rsidR="00610A08">
        <w:rPr>
          <w:rFonts w:ascii="Arial" w:eastAsia="Calibri" w:hAnsi="Arial" w:cs="Arial"/>
          <w:color w:val="auto"/>
          <w:sz w:val="22"/>
          <w:szCs w:val="22"/>
          <w:shd w:val="clear" w:color="auto" w:fill="FFFFFF"/>
        </w:rPr>
        <w:t xml:space="preserve"> will</w:t>
      </w:r>
      <w:r w:rsidR="007D5AF5">
        <w:rPr>
          <w:rFonts w:ascii="Arial" w:eastAsia="Calibri" w:hAnsi="Arial" w:cs="Arial"/>
          <w:color w:val="auto"/>
          <w:sz w:val="22"/>
          <w:szCs w:val="22"/>
          <w:shd w:val="clear" w:color="auto" w:fill="FFFFFF"/>
        </w:rPr>
        <w:t xml:space="preserve"> meet these standards </w:t>
      </w:r>
      <w:r w:rsidR="00610A08">
        <w:rPr>
          <w:rFonts w:ascii="Arial" w:eastAsia="Calibri" w:hAnsi="Arial" w:cs="Arial"/>
          <w:color w:val="auto"/>
          <w:sz w:val="22"/>
          <w:szCs w:val="22"/>
          <w:shd w:val="clear" w:color="auto" w:fill="FFFFFF"/>
        </w:rPr>
        <w:t>when</w:t>
      </w:r>
      <w:r w:rsidR="007D5AF5">
        <w:rPr>
          <w:rFonts w:ascii="Arial" w:eastAsia="Calibri" w:hAnsi="Arial" w:cs="Arial"/>
          <w:color w:val="auto"/>
          <w:sz w:val="22"/>
          <w:szCs w:val="22"/>
          <w:shd w:val="clear" w:color="auto" w:fill="FFFFFF"/>
        </w:rPr>
        <w:t xml:space="preserve"> supported by</w:t>
      </w:r>
      <w:r w:rsidR="007D5AF5" w:rsidRPr="00FB005C">
        <w:rPr>
          <w:rFonts w:ascii="Arial" w:eastAsia="Calibri" w:hAnsi="Arial" w:cs="Arial"/>
          <w:color w:val="auto"/>
          <w:sz w:val="22"/>
          <w:szCs w:val="22"/>
          <w:shd w:val="clear" w:color="auto" w:fill="FFFFFF"/>
        </w:rPr>
        <w:t xml:space="preserve"> medical </w:t>
      </w:r>
      <w:r w:rsidR="007D5AF5" w:rsidRPr="00953B20">
        <w:rPr>
          <w:rFonts w:ascii="Arial" w:eastAsia="Calibri" w:hAnsi="Arial" w:cs="Arial"/>
          <w:color w:val="auto"/>
          <w:sz w:val="22"/>
          <w:szCs w:val="22"/>
          <w:shd w:val="clear" w:color="auto" w:fill="FFFFFF"/>
        </w:rPr>
        <w:t>evidence that is peer-reviewed and nationally recognized</w:t>
      </w:r>
      <w:r w:rsidR="007D5AF5" w:rsidRPr="00CE11AE">
        <w:rPr>
          <w:rFonts w:ascii="Arial" w:eastAsia="Calibri" w:hAnsi="Arial" w:cs="Arial"/>
          <w:color w:val="auto"/>
          <w:sz w:val="22"/>
          <w:szCs w:val="22"/>
          <w:shd w:val="clear" w:color="auto" w:fill="FFFFFF"/>
        </w:rPr>
        <w:t xml:space="preserve">. </w:t>
      </w:r>
      <w:r w:rsidR="00B81255">
        <w:rPr>
          <w:rFonts w:ascii="Arial" w:eastAsia="Calibri" w:hAnsi="Arial" w:cs="Arial"/>
          <w:color w:val="auto"/>
          <w:sz w:val="22"/>
          <w:szCs w:val="22"/>
          <w:shd w:val="clear" w:color="auto" w:fill="FFFFFF"/>
        </w:rPr>
        <w:t xml:space="preserve"> </w:t>
      </w:r>
    </w:p>
    <w:p w:rsidR="00CE11AE" w:rsidRPr="00CE11AE" w:rsidRDefault="00CE11AE" w:rsidP="00CE11AE">
      <w:pPr>
        <w:rPr>
          <w:rFonts w:ascii="Arial" w:eastAsia="Calibri" w:hAnsi="Arial" w:cs="Arial"/>
          <w:color w:val="auto"/>
          <w:sz w:val="22"/>
          <w:szCs w:val="22"/>
        </w:rPr>
      </w:pPr>
    </w:p>
    <w:p w:rsidR="005A04E7" w:rsidRDefault="00D205F3" w:rsidP="004C594A">
      <w:pPr>
        <w:pStyle w:val="MessageHeader"/>
        <w:tabs>
          <w:tab w:val="left" w:pos="900"/>
        </w:tabs>
        <w:spacing w:after="0" w:line="240" w:lineRule="auto"/>
        <w:ind w:left="0" w:firstLine="0"/>
        <w:rPr>
          <w:rFonts w:cs="Arial"/>
          <w:sz w:val="22"/>
          <w:szCs w:val="22"/>
        </w:rPr>
      </w:pPr>
      <w:r>
        <w:rPr>
          <w:rFonts w:cs="Arial"/>
          <w:sz w:val="22"/>
          <w:szCs w:val="22"/>
        </w:rPr>
        <w:t>The following s</w:t>
      </w:r>
      <w:r w:rsidR="007D2453">
        <w:rPr>
          <w:rFonts w:cs="Arial"/>
          <w:sz w:val="22"/>
          <w:szCs w:val="22"/>
        </w:rPr>
        <w:t xml:space="preserve">pecific </w:t>
      </w:r>
      <w:r w:rsidR="005A04E7">
        <w:rPr>
          <w:rFonts w:cs="Arial"/>
          <w:sz w:val="22"/>
          <w:szCs w:val="22"/>
        </w:rPr>
        <w:t xml:space="preserve">changes </w:t>
      </w:r>
      <w:r w:rsidR="00477B17">
        <w:rPr>
          <w:rFonts w:cs="Arial"/>
          <w:sz w:val="22"/>
          <w:szCs w:val="22"/>
        </w:rPr>
        <w:t xml:space="preserve">recommended </w:t>
      </w:r>
      <w:r w:rsidR="007D2453">
        <w:rPr>
          <w:rFonts w:cs="Arial"/>
          <w:sz w:val="22"/>
          <w:szCs w:val="22"/>
        </w:rPr>
        <w:t xml:space="preserve">to </w:t>
      </w:r>
      <w:r w:rsidR="00477B17">
        <w:rPr>
          <w:rFonts w:cs="Arial"/>
          <w:sz w:val="22"/>
          <w:szCs w:val="22"/>
        </w:rPr>
        <w:t xml:space="preserve">the proposed </w:t>
      </w:r>
      <w:r w:rsidR="007D2453">
        <w:rPr>
          <w:rFonts w:cs="Arial"/>
          <w:sz w:val="22"/>
          <w:szCs w:val="22"/>
        </w:rPr>
        <w:t xml:space="preserve">regulatory language </w:t>
      </w:r>
      <w:r w:rsidR="005A04E7">
        <w:rPr>
          <w:rFonts w:cs="Arial"/>
          <w:sz w:val="22"/>
          <w:szCs w:val="22"/>
        </w:rPr>
        <w:t xml:space="preserve">are indicated by italicized and highlighted </w:t>
      </w:r>
      <w:r w:rsidR="005A04E7" w:rsidRPr="00477B17">
        <w:rPr>
          <w:rFonts w:cs="Arial"/>
          <w:sz w:val="22"/>
          <w:szCs w:val="22"/>
          <w:highlight w:val="yellow"/>
          <w:u w:val="single"/>
        </w:rPr>
        <w:t>underscore</w:t>
      </w:r>
      <w:r w:rsidR="005A04E7">
        <w:rPr>
          <w:rFonts w:cs="Arial"/>
          <w:sz w:val="22"/>
          <w:szCs w:val="22"/>
        </w:rPr>
        <w:t xml:space="preserve"> and </w:t>
      </w:r>
      <w:r w:rsidR="005A04E7" w:rsidRPr="00477B17">
        <w:rPr>
          <w:rFonts w:cs="Arial"/>
          <w:strike/>
          <w:sz w:val="22"/>
          <w:szCs w:val="22"/>
          <w:highlight w:val="yellow"/>
        </w:rPr>
        <w:t>strikeout</w:t>
      </w:r>
      <w:r w:rsidR="00477B17" w:rsidRPr="00477B17">
        <w:rPr>
          <w:rFonts w:cs="Arial"/>
          <w:sz w:val="22"/>
          <w:szCs w:val="22"/>
        </w:rPr>
        <w:t xml:space="preserve">.  </w:t>
      </w:r>
      <w:r w:rsidR="002375ED">
        <w:rPr>
          <w:rFonts w:cs="Arial"/>
          <w:sz w:val="22"/>
          <w:szCs w:val="22"/>
        </w:rPr>
        <w:t>The Institute’s c</w:t>
      </w:r>
      <w:r w:rsidR="00477B17">
        <w:rPr>
          <w:rFonts w:cs="Arial"/>
          <w:sz w:val="22"/>
          <w:szCs w:val="22"/>
        </w:rPr>
        <w:t xml:space="preserve">omments and discussion on the recommendations are </w:t>
      </w:r>
      <w:r w:rsidR="00477B17">
        <w:rPr>
          <w:rFonts w:cs="Arial"/>
          <w:i/>
          <w:sz w:val="22"/>
          <w:szCs w:val="22"/>
        </w:rPr>
        <w:t>italicized.</w:t>
      </w:r>
    </w:p>
    <w:p w:rsidR="00B11304" w:rsidRDefault="00B11304" w:rsidP="008D17A1">
      <w:pPr>
        <w:pStyle w:val="MessageHeader"/>
        <w:rPr>
          <w:rFonts w:cs="Arial"/>
          <w:b/>
          <w:sz w:val="22"/>
          <w:szCs w:val="22"/>
        </w:rPr>
      </w:pPr>
    </w:p>
    <w:p w:rsidR="005714BD" w:rsidRDefault="005714BD" w:rsidP="0029521E">
      <w:pPr>
        <w:rPr>
          <w:rFonts w:eastAsia="Calibri"/>
          <w:b/>
          <w:color w:val="auto"/>
          <w:szCs w:val="24"/>
        </w:rPr>
      </w:pPr>
    </w:p>
    <w:p w:rsidR="00A41157" w:rsidRDefault="00A41157" w:rsidP="0029521E">
      <w:pPr>
        <w:rPr>
          <w:rFonts w:eastAsia="Calibri"/>
          <w:b/>
          <w:color w:val="auto"/>
          <w:szCs w:val="24"/>
        </w:rPr>
      </w:pPr>
    </w:p>
    <w:p w:rsidR="00A41157" w:rsidRDefault="00A41157" w:rsidP="0029521E">
      <w:pPr>
        <w:rPr>
          <w:rFonts w:eastAsia="Calibri"/>
          <w:b/>
          <w:color w:val="auto"/>
          <w:szCs w:val="24"/>
        </w:rPr>
      </w:pPr>
    </w:p>
    <w:p w:rsidR="00A41157" w:rsidRDefault="00A41157" w:rsidP="0029521E">
      <w:pPr>
        <w:rPr>
          <w:rFonts w:eastAsia="Calibri"/>
          <w:b/>
          <w:color w:val="auto"/>
          <w:szCs w:val="24"/>
        </w:rPr>
      </w:pPr>
    </w:p>
    <w:p w:rsidR="00A41157" w:rsidRDefault="00A41157" w:rsidP="0029521E">
      <w:pPr>
        <w:rPr>
          <w:rFonts w:eastAsia="Calibri"/>
          <w:b/>
          <w:color w:val="auto"/>
          <w:szCs w:val="24"/>
        </w:rPr>
      </w:pPr>
    </w:p>
    <w:p w:rsidR="00A41157" w:rsidRDefault="00A41157" w:rsidP="0029521E">
      <w:pPr>
        <w:rPr>
          <w:rFonts w:eastAsia="Calibri"/>
          <w:b/>
          <w:color w:val="auto"/>
          <w:szCs w:val="24"/>
        </w:rPr>
      </w:pPr>
    </w:p>
    <w:p w:rsidR="00A41157" w:rsidRDefault="00A41157"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§9785. Reporting Duties of the Primary Treating Physician.</w:t>
      </w:r>
    </w:p>
    <w:p w:rsidR="0029521E" w:rsidRPr="0029521E" w:rsidRDefault="0029521E" w:rsidP="0029521E">
      <w:pPr>
        <w:rPr>
          <w:szCs w:val="24"/>
        </w:rPr>
      </w:pPr>
    </w:p>
    <w:p w:rsidR="00A9455E" w:rsidRPr="00A9455E" w:rsidRDefault="00A9455E" w:rsidP="00A9455E">
      <w:pPr>
        <w:rPr>
          <w:szCs w:val="24"/>
        </w:rPr>
      </w:pPr>
      <w:r w:rsidRPr="00A9455E">
        <w:rPr>
          <w:szCs w:val="24"/>
        </w:rPr>
        <w:t xml:space="preserve">(a)(1) The “primary treating physician” is the </w:t>
      </w:r>
      <w:r w:rsidRPr="00A9455E">
        <w:rPr>
          <w:szCs w:val="24"/>
          <w:highlight w:val="yellow"/>
          <w:u w:val="single"/>
        </w:rPr>
        <w:t>treating</w:t>
      </w:r>
      <w:r w:rsidRPr="00A9455E">
        <w:rPr>
          <w:szCs w:val="24"/>
          <w:u w:val="single"/>
        </w:rPr>
        <w:t xml:space="preserve"> </w:t>
      </w:r>
      <w:r w:rsidRPr="00A9455E">
        <w:rPr>
          <w:szCs w:val="24"/>
        </w:rPr>
        <w:t>physician who is primarily responsible for managing the care of an employee, and who has examined the employee at least once for the purpose of rendering or prescribing treatment and has monitored the effect of the treatment thereafter. The primary treating physician is the physician selected by the employer, the employee pursuant to Article 2 (commencing with section 4600) of Chapter 2 of Part 2 of Division 4 of the Labor Code, or under the contract or procedures applicable to a Health Care Organization certified under section 4600.5 of the Labor Code, or in accordance with the physician selection procedures contained in the medical provider network pursuant to Labor Code section 4616.</w:t>
      </w:r>
    </w:p>
    <w:p w:rsidR="00A9455E" w:rsidRPr="00A9455E" w:rsidRDefault="00A9455E" w:rsidP="00A9455E">
      <w:pPr>
        <w:rPr>
          <w:szCs w:val="24"/>
        </w:rPr>
      </w:pPr>
    </w:p>
    <w:p w:rsidR="00A9455E" w:rsidRPr="00A9455E" w:rsidRDefault="00A9455E" w:rsidP="00A9455E">
      <w:pPr>
        <w:ind w:left="720"/>
        <w:rPr>
          <w:i/>
          <w:szCs w:val="24"/>
        </w:rPr>
      </w:pPr>
      <w:r w:rsidRPr="00A9455E">
        <w:rPr>
          <w:i/>
          <w:szCs w:val="24"/>
        </w:rPr>
        <w:t>The addition of “treating” provides a more complete definition.</w:t>
      </w:r>
    </w:p>
    <w:p w:rsidR="00A9455E" w:rsidRPr="00A9455E" w:rsidRDefault="00A9455E" w:rsidP="00A9455E">
      <w:pPr>
        <w:rPr>
          <w:szCs w:val="24"/>
        </w:rPr>
      </w:pPr>
    </w:p>
    <w:p w:rsidR="00A9455E" w:rsidRPr="00A9455E" w:rsidRDefault="00A9455E" w:rsidP="00A9455E">
      <w:pPr>
        <w:rPr>
          <w:szCs w:val="24"/>
        </w:rPr>
      </w:pPr>
      <w:r w:rsidRPr="00A9455E">
        <w:rPr>
          <w:szCs w:val="24"/>
        </w:rPr>
        <w:t xml:space="preserve">(b)(3) </w:t>
      </w:r>
      <w:r w:rsidRPr="00A9455E">
        <w:rPr>
          <w:szCs w:val="24"/>
          <w:highlight w:val="yellow"/>
          <w:u w:val="single"/>
        </w:rPr>
        <w:t xml:space="preserve">Except for determinations pursuant to Labor Code section 4610, </w:t>
      </w:r>
      <w:r w:rsidRPr="00A9455E">
        <w:rPr>
          <w:strike/>
          <w:szCs w:val="24"/>
          <w:highlight w:val="yellow"/>
          <w:u w:val="single"/>
        </w:rPr>
        <w:t>I</w:t>
      </w:r>
      <w:r w:rsidRPr="00A9455E">
        <w:rPr>
          <w:szCs w:val="24"/>
          <w:highlight w:val="yellow"/>
          <w:u w:val="single"/>
        </w:rPr>
        <w:t>i</w:t>
      </w:r>
      <w:r w:rsidRPr="00A9455E">
        <w:rPr>
          <w:szCs w:val="24"/>
        </w:rPr>
        <w:t xml:space="preserve">f the employee disputes a medical determination made by the primary treating physician, including a determination that the employee should be released from care, the dispute shall be resolved under the applicable procedures set forth </w:t>
      </w:r>
      <w:r w:rsidR="00696BE9">
        <w:rPr>
          <w:szCs w:val="24"/>
        </w:rPr>
        <w:t>in</w:t>
      </w:r>
      <w:r w:rsidRPr="00A9455E">
        <w:rPr>
          <w:szCs w:val="24"/>
        </w:rPr>
        <w:t xml:space="preserve"> Labor Code sections 4060, 4061, 4062, 4600.5, 4616.3, or 4616.4.  If the employee objects to a decision made pursuant to Labor Code section 4610 to modify, delay, or deny a treatment recommendation, the dispute shall be resolved by independent medical review pursuant to Labor Code section 4610.5, if applicable, or otherwise pursuant to Labor Code section 4062. No other primary treating physician shall be designated by the employee unless and until the dispute is resolved. </w:t>
      </w:r>
    </w:p>
    <w:p w:rsidR="00A9455E" w:rsidRPr="00A9455E" w:rsidRDefault="00A9455E" w:rsidP="00A9455E">
      <w:pPr>
        <w:rPr>
          <w:szCs w:val="24"/>
        </w:rPr>
      </w:pPr>
    </w:p>
    <w:p w:rsidR="00A9455E" w:rsidRPr="00A9455E" w:rsidRDefault="00A9455E" w:rsidP="00A9455E">
      <w:pPr>
        <w:ind w:left="720"/>
        <w:rPr>
          <w:i/>
          <w:szCs w:val="24"/>
        </w:rPr>
      </w:pPr>
      <w:r w:rsidRPr="00A9455E">
        <w:rPr>
          <w:i/>
          <w:szCs w:val="24"/>
        </w:rPr>
        <w:t xml:space="preserve">The recommended addition clarifies that </w:t>
      </w:r>
      <w:r w:rsidR="00F4690B">
        <w:rPr>
          <w:i/>
          <w:szCs w:val="24"/>
        </w:rPr>
        <w:t xml:space="preserve">all PTP </w:t>
      </w:r>
      <w:r w:rsidRPr="00A9455E">
        <w:rPr>
          <w:i/>
          <w:szCs w:val="24"/>
        </w:rPr>
        <w:t xml:space="preserve">determinations </w:t>
      </w:r>
      <w:r w:rsidR="00F4690B">
        <w:rPr>
          <w:i/>
          <w:szCs w:val="24"/>
        </w:rPr>
        <w:t>except for those subject to</w:t>
      </w:r>
      <w:r w:rsidRPr="00A9455E">
        <w:rPr>
          <w:i/>
          <w:szCs w:val="24"/>
        </w:rPr>
        <w:t xml:space="preserve"> Labor Code section 4610 are resolved under the procedures in the sections listed in </w:t>
      </w:r>
      <w:r w:rsidR="00F4690B">
        <w:rPr>
          <w:i/>
          <w:szCs w:val="24"/>
        </w:rPr>
        <w:t>the first</w:t>
      </w:r>
      <w:r w:rsidRPr="00A9455E">
        <w:rPr>
          <w:i/>
          <w:szCs w:val="24"/>
        </w:rPr>
        <w:t xml:space="preserve"> sentence.</w:t>
      </w:r>
    </w:p>
    <w:p w:rsidR="00A9455E" w:rsidRPr="00A9455E" w:rsidRDefault="00A9455E" w:rsidP="00A9455E">
      <w:pPr>
        <w:rPr>
          <w:szCs w:val="24"/>
        </w:rPr>
      </w:pPr>
    </w:p>
    <w:p w:rsidR="00A9455E" w:rsidRPr="00A9455E" w:rsidRDefault="00A9455E" w:rsidP="00A9455E">
      <w:pPr>
        <w:rPr>
          <w:szCs w:val="24"/>
          <w:u w:val="single"/>
        </w:rPr>
      </w:pPr>
      <w:r w:rsidRPr="00A9455E">
        <w:rPr>
          <w:szCs w:val="24"/>
        </w:rPr>
        <w:t>(g)  As applicable in section 9792.9.1, a written request for authorization of medical treatment for a specific course of proposed medical treatment, or a written confirmation of an oral request for a specific course of proposed medical treatment, must be set forth on the “Request for Authorization of Medical Treatment,” DWC Form RFA, contained in section 9785.5.</w:t>
      </w:r>
      <w:r w:rsidRPr="00A9455E">
        <w:rPr>
          <w:szCs w:val="24"/>
          <w:u w:val="single"/>
        </w:rPr>
        <w:t xml:space="preserve">  </w:t>
      </w:r>
      <w:r w:rsidRPr="00A9455E">
        <w:rPr>
          <w:szCs w:val="24"/>
          <w:highlight w:val="yellow"/>
          <w:u w:val="single"/>
        </w:rPr>
        <w:t>A written confirmation of an oral request shall be clearly marked at the top that it is written confirmation of an oral request. The DWC Form RFA must include or attach information to substantiate the need for the requested treatment.</w:t>
      </w:r>
    </w:p>
    <w:p w:rsidR="00A9455E" w:rsidRPr="00A9455E" w:rsidRDefault="00A9455E" w:rsidP="00A9455E">
      <w:pPr>
        <w:rPr>
          <w:szCs w:val="24"/>
        </w:rPr>
      </w:pPr>
    </w:p>
    <w:p w:rsidR="00A9455E" w:rsidRPr="00A9455E" w:rsidRDefault="005A43C8" w:rsidP="00A9455E">
      <w:pPr>
        <w:ind w:left="720"/>
        <w:rPr>
          <w:i/>
          <w:szCs w:val="24"/>
        </w:rPr>
      </w:pPr>
      <w:r>
        <w:rPr>
          <w:i/>
          <w:szCs w:val="24"/>
        </w:rPr>
        <w:t>The Institute recommends r</w:t>
      </w:r>
      <w:r w:rsidR="00A9455E" w:rsidRPr="00A9455E">
        <w:rPr>
          <w:i/>
          <w:szCs w:val="24"/>
        </w:rPr>
        <w:t>estor</w:t>
      </w:r>
      <w:r>
        <w:rPr>
          <w:i/>
          <w:szCs w:val="24"/>
        </w:rPr>
        <w:t>ing</w:t>
      </w:r>
      <w:r w:rsidR="00A9455E" w:rsidRPr="00A9455E">
        <w:rPr>
          <w:i/>
          <w:szCs w:val="24"/>
        </w:rPr>
        <w:t xml:space="preserve"> this language as it is important to identify when the submission confirms an earlier oral request, and information substantiating the need for treatment remains necessary.</w:t>
      </w:r>
    </w:p>
    <w:p w:rsidR="00A9455E" w:rsidRPr="00A9455E" w:rsidRDefault="00A9455E" w:rsidP="00A9455E">
      <w:pPr>
        <w:ind w:left="720"/>
        <w:rPr>
          <w:i/>
          <w:szCs w:val="24"/>
        </w:rPr>
      </w:pPr>
    </w:p>
    <w:p w:rsidR="0029521E" w:rsidRPr="0029521E" w:rsidRDefault="0029521E" w:rsidP="0029521E">
      <w:pPr>
        <w:rPr>
          <w:rFonts w:eastAsia="Calibri"/>
          <w:b/>
          <w:color w:val="auto"/>
          <w:szCs w:val="24"/>
          <w:u w:val="single"/>
        </w:rPr>
      </w:pPr>
    </w:p>
    <w:p w:rsidR="0029521E" w:rsidRPr="0029521E" w:rsidRDefault="0029521E" w:rsidP="0029521E">
      <w:pPr>
        <w:rPr>
          <w:rFonts w:eastAsia="Calibri"/>
          <w:b/>
          <w:color w:val="auto"/>
          <w:szCs w:val="24"/>
        </w:rPr>
      </w:pPr>
      <w:r w:rsidRPr="0029521E">
        <w:rPr>
          <w:rFonts w:eastAsia="Calibri"/>
          <w:b/>
          <w:color w:val="auto"/>
          <w:szCs w:val="24"/>
        </w:rPr>
        <w:t>§9785.5. Request for Authorization Form, DWC Form RFA.</w:t>
      </w:r>
    </w:p>
    <w:p w:rsidR="0029521E" w:rsidRPr="0029521E" w:rsidRDefault="0029521E" w:rsidP="0029521E">
      <w:pPr>
        <w:rPr>
          <w:rFonts w:eastAsia="Calibri"/>
          <w:b/>
          <w:color w:val="auto"/>
          <w:szCs w:val="24"/>
          <w:u w:val="single"/>
        </w:rPr>
      </w:pPr>
    </w:p>
    <w:p w:rsidR="0029521E" w:rsidRPr="0029521E" w:rsidRDefault="0029521E" w:rsidP="0029521E">
      <w:pPr>
        <w:rPr>
          <w:rFonts w:eastAsia="Calibri"/>
          <w:color w:val="auto"/>
          <w:szCs w:val="24"/>
        </w:rPr>
      </w:pPr>
      <w:r w:rsidRPr="0029521E">
        <w:rPr>
          <w:rFonts w:eastAsia="Calibri"/>
          <w:color w:val="auto"/>
          <w:szCs w:val="24"/>
        </w:rPr>
        <w:t>Request for Authorization, DWC Form RFA</w:t>
      </w:r>
    </w:p>
    <w:p w:rsidR="0029521E" w:rsidRPr="0029521E" w:rsidRDefault="0029521E" w:rsidP="0029521E">
      <w:pPr>
        <w:rPr>
          <w:rFonts w:eastAsia="Calibri"/>
          <w:color w:val="auto"/>
          <w:szCs w:val="24"/>
        </w:rPr>
      </w:pPr>
    </w:p>
    <w:p w:rsidR="00815147" w:rsidRDefault="001E2970" w:rsidP="00994744">
      <w:pPr>
        <w:ind w:left="720"/>
        <w:rPr>
          <w:rFonts w:eastAsia="Calibri"/>
          <w:i/>
          <w:color w:val="auto"/>
          <w:szCs w:val="24"/>
        </w:rPr>
      </w:pPr>
      <w:r>
        <w:rPr>
          <w:rFonts w:eastAsia="Calibri"/>
          <w:i/>
          <w:color w:val="auto"/>
          <w:szCs w:val="24"/>
        </w:rPr>
        <w:lastRenderedPageBreak/>
        <w:t>We have attached samples of two alternative DWC RFA forms.</w:t>
      </w:r>
      <w:r w:rsidR="00FC3BEA">
        <w:rPr>
          <w:rFonts w:eastAsia="Calibri"/>
          <w:i/>
          <w:color w:val="auto"/>
          <w:szCs w:val="24"/>
        </w:rPr>
        <w:t xml:space="preserve">  Treating physicians have commented that they do not want to complete</w:t>
      </w:r>
      <w:r>
        <w:rPr>
          <w:rFonts w:eastAsia="Calibri"/>
          <w:i/>
          <w:color w:val="auto"/>
          <w:szCs w:val="24"/>
        </w:rPr>
        <w:t xml:space="preserve"> </w:t>
      </w:r>
      <w:r w:rsidR="00FC3BEA">
        <w:rPr>
          <w:rFonts w:eastAsia="Calibri"/>
          <w:i/>
          <w:color w:val="auto"/>
          <w:szCs w:val="24"/>
        </w:rPr>
        <w:t>two forms that contain duplicate information.  It appears that the Division has responded by allowing requests for authorization</w:t>
      </w:r>
      <w:r w:rsidR="00582436">
        <w:rPr>
          <w:rFonts w:eastAsia="Calibri"/>
          <w:i/>
          <w:color w:val="auto"/>
          <w:szCs w:val="24"/>
        </w:rPr>
        <w:t xml:space="preserve"> “in a manner that does not utilize the DWC Form RFA.”</w:t>
      </w:r>
      <w:r w:rsidR="00994744">
        <w:rPr>
          <w:rFonts w:eastAsia="Calibri"/>
          <w:i/>
          <w:color w:val="auto"/>
          <w:szCs w:val="24"/>
        </w:rPr>
        <w:t xml:space="preserve">  </w:t>
      </w:r>
      <w:r w:rsidR="00994744" w:rsidRPr="00994744">
        <w:rPr>
          <w:rFonts w:eastAsia="Calibri"/>
          <w:i/>
          <w:color w:val="auto"/>
          <w:szCs w:val="24"/>
        </w:rPr>
        <w:t xml:space="preserve">If providers are not required to submit requests via a standard request form, the claims administrator may not be able to identify a request or not be able to identify such a request timely, and that will generate unnecessary treatment delays, disputes and penalties.  </w:t>
      </w:r>
    </w:p>
    <w:p w:rsidR="00815147" w:rsidRDefault="00815147" w:rsidP="00994744">
      <w:pPr>
        <w:ind w:left="720"/>
        <w:rPr>
          <w:rFonts w:eastAsia="Calibri"/>
          <w:i/>
          <w:color w:val="auto"/>
          <w:szCs w:val="24"/>
        </w:rPr>
      </w:pPr>
    </w:p>
    <w:p w:rsidR="00994744" w:rsidRDefault="00815147" w:rsidP="00994744">
      <w:pPr>
        <w:ind w:left="720"/>
        <w:rPr>
          <w:rFonts w:eastAsia="Calibri"/>
          <w:i/>
          <w:color w:val="auto"/>
          <w:szCs w:val="24"/>
        </w:rPr>
      </w:pPr>
      <w:r>
        <w:rPr>
          <w:rFonts w:eastAsia="Calibri"/>
          <w:i/>
          <w:color w:val="auto"/>
          <w:szCs w:val="24"/>
        </w:rPr>
        <w:t>Because m</w:t>
      </w:r>
      <w:r w:rsidR="00994744" w:rsidRPr="00994744">
        <w:rPr>
          <w:rFonts w:eastAsia="Calibri"/>
          <w:i/>
          <w:color w:val="auto"/>
          <w:szCs w:val="24"/>
        </w:rPr>
        <w:t xml:space="preserve">any physicians object to completing and submitting </w:t>
      </w:r>
      <w:r w:rsidR="00994744">
        <w:rPr>
          <w:rFonts w:eastAsia="Calibri"/>
          <w:i/>
          <w:color w:val="auto"/>
          <w:szCs w:val="24"/>
        </w:rPr>
        <w:t>both</w:t>
      </w:r>
      <w:r w:rsidR="00994744" w:rsidRPr="00994744">
        <w:rPr>
          <w:rFonts w:eastAsia="Calibri"/>
          <w:i/>
          <w:color w:val="auto"/>
          <w:szCs w:val="24"/>
        </w:rPr>
        <w:t xml:space="preserve"> the Primary Treating Physician’s Progress Report (PR-2) and the Request for Authorization (DWC Form RFA)</w:t>
      </w:r>
      <w:r w:rsidR="000163EF">
        <w:rPr>
          <w:rFonts w:eastAsia="Calibri"/>
          <w:i/>
          <w:color w:val="auto"/>
          <w:szCs w:val="24"/>
        </w:rPr>
        <w:t xml:space="preserve">, </w:t>
      </w:r>
      <w:r w:rsidR="00994744" w:rsidRPr="00994744">
        <w:rPr>
          <w:rFonts w:eastAsia="Calibri"/>
          <w:i/>
          <w:color w:val="auto"/>
          <w:szCs w:val="24"/>
        </w:rPr>
        <w:t xml:space="preserve">the Institute recommends </w:t>
      </w:r>
      <w:r w:rsidR="00994744">
        <w:rPr>
          <w:rFonts w:eastAsia="Calibri"/>
          <w:i/>
          <w:color w:val="auto"/>
          <w:szCs w:val="24"/>
        </w:rPr>
        <w:t xml:space="preserve">replacing </w:t>
      </w:r>
      <w:r w:rsidR="00994744" w:rsidRPr="00994744">
        <w:rPr>
          <w:rFonts w:eastAsia="Calibri"/>
          <w:i/>
          <w:color w:val="auto"/>
          <w:szCs w:val="24"/>
        </w:rPr>
        <w:t xml:space="preserve">the two forms </w:t>
      </w:r>
      <w:r w:rsidR="00994744">
        <w:rPr>
          <w:rFonts w:eastAsia="Calibri"/>
          <w:i/>
          <w:color w:val="auto"/>
          <w:szCs w:val="24"/>
        </w:rPr>
        <w:t xml:space="preserve">with </w:t>
      </w:r>
      <w:r w:rsidR="00994744" w:rsidRPr="00FD3939">
        <w:rPr>
          <w:rFonts w:eastAsia="Calibri"/>
          <w:b/>
          <w:i/>
          <w:color w:val="auto"/>
          <w:szCs w:val="24"/>
          <w:u w:val="single"/>
        </w:rPr>
        <w:t xml:space="preserve">a single </w:t>
      </w:r>
      <w:r w:rsidR="00F54735" w:rsidRPr="00FD3939">
        <w:rPr>
          <w:rFonts w:eastAsia="Calibri"/>
          <w:b/>
          <w:i/>
          <w:color w:val="auto"/>
          <w:szCs w:val="24"/>
          <w:u w:val="single"/>
        </w:rPr>
        <w:t xml:space="preserve">standard </w:t>
      </w:r>
      <w:r w:rsidR="00DA6769" w:rsidRPr="00FD3939">
        <w:rPr>
          <w:rFonts w:eastAsia="Calibri"/>
          <w:b/>
          <w:i/>
          <w:color w:val="auto"/>
          <w:szCs w:val="24"/>
          <w:u w:val="single"/>
        </w:rPr>
        <w:t>form</w:t>
      </w:r>
      <w:r w:rsidR="00DA6769">
        <w:rPr>
          <w:rFonts w:eastAsia="Calibri"/>
          <w:i/>
          <w:color w:val="auto"/>
          <w:szCs w:val="24"/>
        </w:rPr>
        <w:t xml:space="preserve"> that integrates aspects of both</w:t>
      </w:r>
      <w:r w:rsidR="007A41D2">
        <w:rPr>
          <w:rFonts w:eastAsia="Calibri"/>
          <w:i/>
          <w:color w:val="auto"/>
          <w:szCs w:val="24"/>
        </w:rPr>
        <w:t>, and</w:t>
      </w:r>
      <w:r w:rsidR="00F54735">
        <w:rPr>
          <w:rFonts w:eastAsia="Calibri"/>
          <w:i/>
          <w:color w:val="auto"/>
          <w:szCs w:val="24"/>
        </w:rPr>
        <w:t xml:space="preserve"> that must be used </w:t>
      </w:r>
      <w:r w:rsidR="000163EF">
        <w:rPr>
          <w:rFonts w:eastAsia="Calibri"/>
          <w:i/>
          <w:color w:val="auto"/>
          <w:szCs w:val="24"/>
        </w:rPr>
        <w:t xml:space="preserve">both </w:t>
      </w:r>
      <w:r w:rsidR="00F54735">
        <w:rPr>
          <w:rFonts w:eastAsia="Calibri"/>
          <w:i/>
          <w:color w:val="auto"/>
          <w:szCs w:val="24"/>
        </w:rPr>
        <w:t xml:space="preserve">to request authorizations for treatment and </w:t>
      </w:r>
      <w:r w:rsidR="00FD0F1A">
        <w:rPr>
          <w:rFonts w:eastAsia="Calibri"/>
          <w:i/>
          <w:color w:val="auto"/>
          <w:szCs w:val="24"/>
        </w:rPr>
        <w:t xml:space="preserve">as </w:t>
      </w:r>
      <w:r w:rsidR="007A41D2">
        <w:rPr>
          <w:rFonts w:eastAsia="Calibri"/>
          <w:i/>
          <w:color w:val="auto"/>
          <w:szCs w:val="24"/>
        </w:rPr>
        <w:t>a</w:t>
      </w:r>
      <w:r w:rsidR="00F54735">
        <w:rPr>
          <w:rFonts w:eastAsia="Calibri"/>
          <w:i/>
          <w:color w:val="auto"/>
          <w:szCs w:val="24"/>
        </w:rPr>
        <w:t xml:space="preserve"> </w:t>
      </w:r>
      <w:r w:rsidR="007A41D2">
        <w:rPr>
          <w:rFonts w:eastAsia="Calibri"/>
          <w:i/>
          <w:color w:val="auto"/>
          <w:szCs w:val="24"/>
        </w:rPr>
        <w:t xml:space="preserve">progress </w:t>
      </w:r>
      <w:r w:rsidR="00F54735">
        <w:rPr>
          <w:rFonts w:eastAsia="Calibri"/>
          <w:i/>
          <w:color w:val="auto"/>
          <w:szCs w:val="24"/>
        </w:rPr>
        <w:t>report</w:t>
      </w:r>
      <w:r w:rsidR="00994744" w:rsidRPr="00994744">
        <w:rPr>
          <w:rFonts w:eastAsia="Calibri"/>
          <w:i/>
          <w:color w:val="auto"/>
          <w:szCs w:val="24"/>
        </w:rPr>
        <w:t>.  This will eliminate duplication and redundancy</w:t>
      </w:r>
      <w:r w:rsidR="00F54735">
        <w:rPr>
          <w:rFonts w:eastAsia="Calibri"/>
          <w:i/>
          <w:color w:val="auto"/>
          <w:szCs w:val="24"/>
        </w:rPr>
        <w:t xml:space="preserve"> for treating physicians, will enable claims administrators to</w:t>
      </w:r>
      <w:r w:rsidR="00FD0F1A">
        <w:rPr>
          <w:rFonts w:eastAsia="Calibri"/>
          <w:i/>
          <w:color w:val="auto"/>
          <w:szCs w:val="24"/>
        </w:rPr>
        <w:t xml:space="preserve"> quickly</w:t>
      </w:r>
      <w:r w:rsidR="00F54735">
        <w:rPr>
          <w:rFonts w:eastAsia="Calibri"/>
          <w:i/>
          <w:color w:val="auto"/>
          <w:szCs w:val="24"/>
        </w:rPr>
        <w:t xml:space="preserve"> identify every request for authorization</w:t>
      </w:r>
      <w:r w:rsidR="00696BE9">
        <w:rPr>
          <w:rFonts w:eastAsia="Calibri"/>
          <w:i/>
          <w:color w:val="auto"/>
          <w:szCs w:val="24"/>
        </w:rPr>
        <w:t>,</w:t>
      </w:r>
      <w:r w:rsidR="000163EF">
        <w:rPr>
          <w:rFonts w:eastAsia="Calibri"/>
          <w:i/>
          <w:color w:val="auto"/>
          <w:szCs w:val="24"/>
        </w:rPr>
        <w:t xml:space="preserve"> and</w:t>
      </w:r>
      <w:r w:rsidR="00FD0F1A">
        <w:rPr>
          <w:rFonts w:eastAsia="Calibri"/>
          <w:i/>
          <w:color w:val="auto"/>
          <w:szCs w:val="24"/>
        </w:rPr>
        <w:t xml:space="preserve"> will facilitate</w:t>
      </w:r>
      <w:r>
        <w:rPr>
          <w:rFonts w:eastAsia="Calibri"/>
          <w:i/>
          <w:color w:val="auto"/>
          <w:szCs w:val="24"/>
        </w:rPr>
        <w:t xml:space="preserve"> timely medical care for injured employees.</w:t>
      </w:r>
      <w:r w:rsidR="00994744" w:rsidRPr="00994744">
        <w:rPr>
          <w:rFonts w:eastAsia="Calibri"/>
          <w:i/>
          <w:color w:val="auto"/>
          <w:szCs w:val="24"/>
        </w:rPr>
        <w:t xml:space="preserve"> </w:t>
      </w:r>
    </w:p>
    <w:p w:rsidR="00FF5380" w:rsidRDefault="00FF5380" w:rsidP="00994744">
      <w:pPr>
        <w:ind w:left="720"/>
        <w:rPr>
          <w:rFonts w:eastAsia="Calibri"/>
          <w:i/>
          <w:color w:val="auto"/>
          <w:szCs w:val="24"/>
        </w:rPr>
      </w:pPr>
    </w:p>
    <w:p w:rsidR="009B1366" w:rsidRDefault="00FF5380" w:rsidP="00994744">
      <w:pPr>
        <w:ind w:left="720"/>
        <w:rPr>
          <w:rFonts w:eastAsia="Calibri"/>
          <w:i/>
          <w:color w:val="auto"/>
          <w:szCs w:val="24"/>
        </w:rPr>
      </w:pPr>
      <w:r>
        <w:rPr>
          <w:rFonts w:eastAsia="Calibri"/>
          <w:i/>
          <w:color w:val="auto"/>
          <w:szCs w:val="24"/>
        </w:rPr>
        <w:t>The first sample DWC RFA Form is modeled on the current PR-2 Form</w:t>
      </w:r>
      <w:r w:rsidR="00402FC3">
        <w:rPr>
          <w:rFonts w:eastAsia="Calibri"/>
          <w:i/>
          <w:color w:val="auto"/>
          <w:szCs w:val="24"/>
        </w:rPr>
        <w:t xml:space="preserve">.  </w:t>
      </w:r>
      <w:r w:rsidR="001F389C">
        <w:rPr>
          <w:rFonts w:eastAsia="Calibri"/>
          <w:i/>
          <w:color w:val="auto"/>
          <w:szCs w:val="24"/>
        </w:rPr>
        <w:t xml:space="preserve">A request for authorization is easily indicated by checking a field at the top of the form.  The form can be used as an optional </w:t>
      </w:r>
      <w:r w:rsidR="00BD5DD7">
        <w:rPr>
          <w:rFonts w:eastAsia="Calibri"/>
          <w:i/>
          <w:color w:val="auto"/>
          <w:szCs w:val="24"/>
        </w:rPr>
        <w:t xml:space="preserve">FAX-back </w:t>
      </w:r>
      <w:r w:rsidR="001F389C">
        <w:rPr>
          <w:rFonts w:eastAsia="Calibri"/>
          <w:i/>
          <w:color w:val="auto"/>
          <w:szCs w:val="24"/>
        </w:rPr>
        <w:t xml:space="preserve">method </w:t>
      </w:r>
      <w:r w:rsidR="00696BE9">
        <w:rPr>
          <w:rFonts w:eastAsia="Calibri"/>
          <w:i/>
          <w:color w:val="auto"/>
          <w:szCs w:val="24"/>
        </w:rPr>
        <w:t>for</w:t>
      </w:r>
      <w:r w:rsidR="001F389C">
        <w:rPr>
          <w:rFonts w:eastAsia="Calibri"/>
          <w:i/>
          <w:color w:val="auto"/>
          <w:szCs w:val="24"/>
        </w:rPr>
        <w:t xml:space="preserve"> authorizing requested goods and services.  The</w:t>
      </w:r>
      <w:r w:rsidR="00402FC3">
        <w:rPr>
          <w:rFonts w:eastAsia="Calibri"/>
          <w:i/>
          <w:color w:val="auto"/>
          <w:szCs w:val="24"/>
        </w:rPr>
        <w:t xml:space="preserve"> </w:t>
      </w:r>
      <w:r w:rsidR="00133D3D">
        <w:rPr>
          <w:rFonts w:eastAsia="Calibri"/>
          <w:i/>
          <w:color w:val="auto"/>
          <w:szCs w:val="24"/>
        </w:rPr>
        <w:t xml:space="preserve">main </w:t>
      </w:r>
      <w:r w:rsidR="00402FC3">
        <w:rPr>
          <w:rFonts w:eastAsia="Calibri"/>
          <w:i/>
          <w:color w:val="auto"/>
          <w:szCs w:val="24"/>
        </w:rPr>
        <w:t>advantage</w:t>
      </w:r>
      <w:r w:rsidR="001F389C">
        <w:rPr>
          <w:rFonts w:eastAsia="Calibri"/>
          <w:i/>
          <w:color w:val="auto"/>
          <w:szCs w:val="24"/>
        </w:rPr>
        <w:t xml:space="preserve"> of this form</w:t>
      </w:r>
      <w:r w:rsidR="00402FC3">
        <w:rPr>
          <w:rFonts w:eastAsia="Calibri"/>
          <w:i/>
          <w:color w:val="auto"/>
          <w:szCs w:val="24"/>
        </w:rPr>
        <w:t xml:space="preserve"> is that physicians, who must use the form, are used to this basic format and will therefore </w:t>
      </w:r>
      <w:r w:rsidR="00696BE9">
        <w:rPr>
          <w:rFonts w:eastAsia="Calibri"/>
          <w:i/>
          <w:color w:val="auto"/>
          <w:szCs w:val="24"/>
        </w:rPr>
        <w:t xml:space="preserve">be able to easily </w:t>
      </w:r>
      <w:r w:rsidR="00402FC3">
        <w:rPr>
          <w:rFonts w:eastAsia="Calibri"/>
          <w:i/>
          <w:color w:val="auto"/>
          <w:szCs w:val="24"/>
        </w:rPr>
        <w:t xml:space="preserve">transition </w:t>
      </w:r>
      <w:r w:rsidR="00C743A6">
        <w:rPr>
          <w:rFonts w:eastAsia="Calibri"/>
          <w:i/>
          <w:color w:val="auto"/>
          <w:szCs w:val="24"/>
        </w:rPr>
        <w:t>to it</w:t>
      </w:r>
      <w:r w:rsidR="00402FC3">
        <w:rPr>
          <w:rFonts w:eastAsia="Calibri"/>
          <w:i/>
          <w:color w:val="auto"/>
          <w:szCs w:val="24"/>
        </w:rPr>
        <w:t xml:space="preserve">. Programming changes may also be minimized.  </w:t>
      </w:r>
    </w:p>
    <w:p w:rsidR="009B1366" w:rsidRDefault="009B1366" w:rsidP="00994744">
      <w:pPr>
        <w:ind w:left="720"/>
        <w:rPr>
          <w:rFonts w:eastAsia="Calibri"/>
          <w:i/>
          <w:color w:val="auto"/>
          <w:szCs w:val="24"/>
        </w:rPr>
      </w:pPr>
    </w:p>
    <w:p w:rsidR="00FF5380" w:rsidRDefault="00133D3D" w:rsidP="00994744">
      <w:pPr>
        <w:ind w:left="720"/>
        <w:rPr>
          <w:rFonts w:eastAsia="Calibri"/>
          <w:i/>
          <w:color w:val="auto"/>
          <w:szCs w:val="24"/>
        </w:rPr>
      </w:pPr>
      <w:r>
        <w:rPr>
          <w:rFonts w:eastAsia="Calibri"/>
          <w:i/>
          <w:color w:val="auto"/>
          <w:szCs w:val="24"/>
        </w:rPr>
        <w:t>The second sample DWC RFA Form is an amalgam of the proposed DWC RFA Form and the PR-2</w:t>
      </w:r>
      <w:r w:rsidR="009A52F9">
        <w:rPr>
          <w:rFonts w:eastAsia="Calibri"/>
          <w:i/>
          <w:color w:val="auto"/>
          <w:szCs w:val="24"/>
        </w:rPr>
        <w:t xml:space="preserve"> Form</w:t>
      </w:r>
      <w:r w:rsidR="009B1366">
        <w:rPr>
          <w:rFonts w:eastAsia="Calibri"/>
          <w:i/>
          <w:color w:val="auto"/>
          <w:szCs w:val="24"/>
        </w:rPr>
        <w:t xml:space="preserve">.  It contains all the information on each form </w:t>
      </w:r>
      <w:r w:rsidR="009A52F9">
        <w:rPr>
          <w:rFonts w:eastAsia="Calibri"/>
          <w:i/>
          <w:color w:val="auto"/>
          <w:szCs w:val="24"/>
        </w:rPr>
        <w:t>without</w:t>
      </w:r>
      <w:r w:rsidR="009B1366">
        <w:rPr>
          <w:rFonts w:eastAsia="Calibri"/>
          <w:i/>
          <w:color w:val="auto"/>
          <w:szCs w:val="24"/>
        </w:rPr>
        <w:t xml:space="preserve"> duplicat</w:t>
      </w:r>
      <w:r w:rsidR="009A52F9">
        <w:rPr>
          <w:rFonts w:eastAsia="Calibri"/>
          <w:i/>
          <w:color w:val="auto"/>
          <w:szCs w:val="24"/>
        </w:rPr>
        <w:t>ion</w:t>
      </w:r>
      <w:r w:rsidR="00AF273D">
        <w:rPr>
          <w:rFonts w:eastAsia="Calibri"/>
          <w:i/>
          <w:color w:val="auto"/>
          <w:szCs w:val="24"/>
        </w:rPr>
        <w:t>.</w:t>
      </w:r>
      <w:r w:rsidR="009A52F9">
        <w:rPr>
          <w:rFonts w:eastAsia="Calibri"/>
          <w:i/>
          <w:color w:val="auto"/>
          <w:szCs w:val="24"/>
        </w:rPr>
        <w:t xml:space="preserve"> It</w:t>
      </w:r>
      <w:r w:rsidR="007B4208">
        <w:rPr>
          <w:rFonts w:eastAsia="Calibri"/>
          <w:i/>
          <w:color w:val="auto"/>
          <w:szCs w:val="24"/>
        </w:rPr>
        <w:t>,</w:t>
      </w:r>
      <w:r w:rsidR="009A52F9">
        <w:rPr>
          <w:rFonts w:eastAsia="Calibri"/>
          <w:i/>
          <w:color w:val="auto"/>
          <w:szCs w:val="24"/>
        </w:rPr>
        <w:t xml:space="preserve"> too</w:t>
      </w:r>
      <w:r w:rsidR="007B4208">
        <w:rPr>
          <w:rFonts w:eastAsia="Calibri"/>
          <w:i/>
          <w:color w:val="auto"/>
          <w:szCs w:val="24"/>
        </w:rPr>
        <w:t>,</w:t>
      </w:r>
      <w:r w:rsidR="009A52F9">
        <w:rPr>
          <w:rFonts w:eastAsia="Calibri"/>
          <w:i/>
          <w:color w:val="auto"/>
          <w:szCs w:val="24"/>
        </w:rPr>
        <w:t xml:space="preserve"> easily identifies </w:t>
      </w:r>
      <w:r w:rsidR="00BD5DD7">
        <w:rPr>
          <w:rFonts w:eastAsia="Calibri"/>
          <w:i/>
          <w:color w:val="auto"/>
          <w:szCs w:val="24"/>
        </w:rPr>
        <w:t xml:space="preserve">a request for authorization and it, too, can be used as an optional FAX-back method </w:t>
      </w:r>
      <w:r w:rsidR="00696BE9">
        <w:rPr>
          <w:rFonts w:eastAsia="Calibri"/>
          <w:i/>
          <w:color w:val="auto"/>
          <w:szCs w:val="24"/>
        </w:rPr>
        <w:t>to</w:t>
      </w:r>
      <w:r w:rsidR="00BD5DD7">
        <w:rPr>
          <w:rFonts w:eastAsia="Calibri"/>
          <w:i/>
          <w:color w:val="auto"/>
          <w:szCs w:val="24"/>
        </w:rPr>
        <w:t xml:space="preserve"> authoriz</w:t>
      </w:r>
      <w:r w:rsidR="00696BE9">
        <w:rPr>
          <w:rFonts w:eastAsia="Calibri"/>
          <w:i/>
          <w:color w:val="auto"/>
          <w:szCs w:val="24"/>
        </w:rPr>
        <w:t>e</w:t>
      </w:r>
      <w:r w:rsidR="00BD5DD7">
        <w:rPr>
          <w:rFonts w:eastAsia="Calibri"/>
          <w:i/>
          <w:color w:val="auto"/>
          <w:szCs w:val="24"/>
        </w:rPr>
        <w:t xml:space="preserve"> requested goods and services. Although the form is </w:t>
      </w:r>
      <w:r w:rsidR="00E63531">
        <w:rPr>
          <w:rFonts w:eastAsia="Calibri"/>
          <w:i/>
          <w:color w:val="auto"/>
          <w:szCs w:val="24"/>
        </w:rPr>
        <w:t xml:space="preserve">less familiar to physicians, it </w:t>
      </w:r>
      <w:r w:rsidR="00FD3939">
        <w:rPr>
          <w:rFonts w:eastAsia="Calibri"/>
          <w:i/>
          <w:color w:val="auto"/>
          <w:szCs w:val="24"/>
        </w:rPr>
        <w:t>includes some additional information,</w:t>
      </w:r>
      <w:r w:rsidR="00780C33">
        <w:rPr>
          <w:rFonts w:eastAsia="Calibri"/>
          <w:i/>
          <w:color w:val="auto"/>
          <w:szCs w:val="24"/>
        </w:rPr>
        <w:t xml:space="preserve"> has </w:t>
      </w:r>
      <w:r w:rsidR="007B4208">
        <w:rPr>
          <w:rFonts w:eastAsia="Calibri"/>
          <w:i/>
          <w:color w:val="auto"/>
          <w:szCs w:val="24"/>
        </w:rPr>
        <w:t xml:space="preserve">a bit </w:t>
      </w:r>
      <w:r w:rsidR="00780C33">
        <w:rPr>
          <w:rFonts w:eastAsia="Calibri"/>
          <w:i/>
          <w:color w:val="auto"/>
          <w:szCs w:val="24"/>
        </w:rPr>
        <w:t>more capacity for requests</w:t>
      </w:r>
      <w:r w:rsidR="007B4208">
        <w:rPr>
          <w:rFonts w:eastAsia="Calibri"/>
          <w:i/>
          <w:color w:val="auto"/>
          <w:szCs w:val="24"/>
        </w:rPr>
        <w:t>, and includes instructions</w:t>
      </w:r>
      <w:r w:rsidR="00AF273D" w:rsidRPr="00AF273D">
        <w:rPr>
          <w:rFonts w:eastAsia="Calibri"/>
          <w:i/>
          <w:color w:val="auto"/>
          <w:szCs w:val="24"/>
        </w:rPr>
        <w:t xml:space="preserve"> </w:t>
      </w:r>
      <w:r w:rsidR="00AF273D">
        <w:rPr>
          <w:rFonts w:eastAsia="Calibri"/>
          <w:i/>
          <w:color w:val="auto"/>
          <w:szCs w:val="24"/>
        </w:rPr>
        <w:t>for requesting authorization</w:t>
      </w:r>
      <w:r w:rsidR="005915B7">
        <w:rPr>
          <w:rFonts w:eastAsia="Calibri"/>
          <w:i/>
          <w:color w:val="auto"/>
          <w:szCs w:val="24"/>
        </w:rPr>
        <w:t xml:space="preserve"> and</w:t>
      </w:r>
      <w:r w:rsidR="009E735E">
        <w:rPr>
          <w:rFonts w:eastAsia="Calibri"/>
          <w:i/>
          <w:color w:val="auto"/>
          <w:szCs w:val="24"/>
        </w:rPr>
        <w:t xml:space="preserve"> for responding to requests</w:t>
      </w:r>
      <w:r w:rsidR="00AF273D">
        <w:rPr>
          <w:rFonts w:eastAsia="Calibri"/>
          <w:i/>
          <w:color w:val="auto"/>
          <w:szCs w:val="24"/>
        </w:rPr>
        <w:t xml:space="preserve">.  </w:t>
      </w:r>
      <w:r w:rsidR="007B4208">
        <w:rPr>
          <w:rFonts w:eastAsia="Calibri"/>
          <w:i/>
          <w:color w:val="auto"/>
          <w:szCs w:val="24"/>
        </w:rPr>
        <w:t xml:space="preserve"> </w:t>
      </w:r>
    </w:p>
    <w:p w:rsidR="007B4208" w:rsidRDefault="007B4208" w:rsidP="00994744">
      <w:pPr>
        <w:ind w:left="720"/>
        <w:rPr>
          <w:rFonts w:eastAsia="Calibri"/>
          <w:i/>
          <w:color w:val="auto"/>
          <w:szCs w:val="24"/>
        </w:rPr>
      </w:pPr>
    </w:p>
    <w:p w:rsidR="007B4208" w:rsidRPr="00994744" w:rsidRDefault="007B4208" w:rsidP="00994744">
      <w:pPr>
        <w:ind w:left="720"/>
        <w:rPr>
          <w:rFonts w:eastAsia="Calibri"/>
          <w:i/>
          <w:color w:val="auto"/>
          <w:szCs w:val="24"/>
        </w:rPr>
      </w:pPr>
      <w:r>
        <w:rPr>
          <w:rFonts w:eastAsia="Calibri"/>
          <w:i/>
          <w:color w:val="auto"/>
          <w:szCs w:val="24"/>
        </w:rPr>
        <w:t>T</w:t>
      </w:r>
      <w:r w:rsidR="00AF273D">
        <w:rPr>
          <w:rFonts w:eastAsia="Calibri"/>
          <w:i/>
          <w:color w:val="auto"/>
          <w:szCs w:val="24"/>
        </w:rPr>
        <w:t>he Institute would support either form</w:t>
      </w:r>
      <w:r w:rsidR="00587615">
        <w:rPr>
          <w:rFonts w:eastAsia="Calibri"/>
          <w:i/>
          <w:color w:val="auto"/>
          <w:szCs w:val="24"/>
        </w:rPr>
        <w:t xml:space="preserve">, </w:t>
      </w:r>
      <w:r w:rsidR="00AF273D">
        <w:rPr>
          <w:rFonts w:eastAsia="Calibri"/>
          <w:i/>
          <w:color w:val="auto"/>
          <w:szCs w:val="24"/>
        </w:rPr>
        <w:t>(</w:t>
      </w:r>
      <w:r w:rsidR="00587615">
        <w:rPr>
          <w:rFonts w:eastAsia="Calibri"/>
          <w:i/>
          <w:color w:val="auto"/>
          <w:szCs w:val="24"/>
        </w:rPr>
        <w:t xml:space="preserve">but </w:t>
      </w:r>
      <w:r w:rsidR="00AF273D">
        <w:rPr>
          <w:rFonts w:eastAsia="Calibri"/>
          <w:i/>
          <w:color w:val="auto"/>
          <w:szCs w:val="24"/>
        </w:rPr>
        <w:t>not both!)</w:t>
      </w:r>
      <w:r w:rsidR="009E735E">
        <w:rPr>
          <w:rFonts w:eastAsia="Calibri"/>
          <w:i/>
          <w:color w:val="auto"/>
          <w:szCs w:val="24"/>
        </w:rPr>
        <w:t>.</w:t>
      </w:r>
    </w:p>
    <w:p w:rsidR="001E2970" w:rsidRPr="00994744" w:rsidRDefault="001E2970" w:rsidP="00994744">
      <w:pPr>
        <w:ind w:left="1440"/>
        <w:rPr>
          <w:rFonts w:eastAsia="Calibri"/>
          <w:i/>
          <w:color w:val="auto"/>
          <w:szCs w:val="24"/>
        </w:rPr>
      </w:pPr>
    </w:p>
    <w:p w:rsidR="00721B86" w:rsidRPr="0029521E" w:rsidRDefault="00721B86" w:rsidP="0029521E">
      <w:pPr>
        <w:rPr>
          <w:rFonts w:eastAsia="Calibri"/>
          <w:b/>
          <w:color w:val="auto"/>
          <w:szCs w:val="24"/>
        </w:rPr>
      </w:pPr>
    </w:p>
    <w:p w:rsidR="00B41E87" w:rsidRPr="00B41E87" w:rsidRDefault="00B41E87" w:rsidP="00B41E87">
      <w:pPr>
        <w:rPr>
          <w:rFonts w:eastAsia="Calibri"/>
          <w:color w:val="auto"/>
          <w:szCs w:val="24"/>
        </w:rPr>
      </w:pPr>
      <w:r w:rsidRPr="00B41E87">
        <w:rPr>
          <w:rFonts w:eastAsia="Calibri"/>
          <w:b/>
          <w:color w:val="auto"/>
          <w:szCs w:val="24"/>
        </w:rPr>
        <w:t>§ 9792.6.  Utilization Review Standards—Definitions – For Utilization Review Decisions Issued Prior to July 1, 2013 for Injuries Occurring Prior to January 1, 2013.</w:t>
      </w:r>
      <w:r w:rsidRPr="00B41E87">
        <w:rPr>
          <w:rFonts w:eastAsia="Calibri"/>
          <w:b/>
          <w:color w:val="auto"/>
          <w:szCs w:val="24"/>
        </w:rPr>
        <w:br/>
      </w:r>
    </w:p>
    <w:p w:rsidR="00B41E87" w:rsidRPr="00B41E87" w:rsidRDefault="00B41E87" w:rsidP="00B41E87">
      <w:pPr>
        <w:rPr>
          <w:rFonts w:eastAsia="Calibri"/>
          <w:color w:val="auto"/>
          <w:szCs w:val="24"/>
        </w:rPr>
      </w:pPr>
      <w:r w:rsidRPr="00B41E87">
        <w:rPr>
          <w:rFonts w:eastAsia="Calibri"/>
          <w:color w:val="auto"/>
          <w:szCs w:val="24"/>
        </w:rPr>
        <w:t>(f) “Dispute liability” means an assertion by the claims administrator that a factual</w:t>
      </w:r>
      <w:r w:rsidRPr="00B41E87">
        <w:rPr>
          <w:rFonts w:eastAsia="Calibri"/>
          <w:color w:val="auto"/>
          <w:szCs w:val="24"/>
          <w:highlight w:val="yellow"/>
          <w:u w:val="single"/>
        </w:rPr>
        <w:t>, medical</w:t>
      </w:r>
      <w:r w:rsidRPr="00B41E87">
        <w:rPr>
          <w:rFonts w:eastAsia="Calibri"/>
          <w:color w:val="auto"/>
          <w:szCs w:val="24"/>
        </w:rPr>
        <w:t xml:space="preserve"> or legal basis exists that precludes compensability on the part of the claims administrator for an occupational injury, a claimed injury to any part or parts of the body, or a requested medical treatment. </w:t>
      </w:r>
    </w:p>
    <w:p w:rsidR="00B41E87" w:rsidRPr="00B41E87" w:rsidRDefault="00B41E87" w:rsidP="00B41E87">
      <w:pPr>
        <w:rPr>
          <w:rFonts w:eastAsia="Calibri"/>
          <w:color w:val="auto"/>
          <w:szCs w:val="24"/>
        </w:rPr>
      </w:pPr>
    </w:p>
    <w:p w:rsidR="00B41E87" w:rsidRPr="00B41E87" w:rsidRDefault="00B41E87" w:rsidP="00B41E87">
      <w:pPr>
        <w:ind w:left="720"/>
        <w:rPr>
          <w:rFonts w:eastAsia="Calibri"/>
          <w:i/>
          <w:color w:val="auto"/>
          <w:szCs w:val="24"/>
        </w:rPr>
      </w:pPr>
      <w:r w:rsidRPr="00B41E87">
        <w:rPr>
          <w:rFonts w:eastAsia="Calibri"/>
          <w:i/>
          <w:color w:val="auto"/>
          <w:szCs w:val="24"/>
        </w:rPr>
        <w:t>Liability determinations are sometimes based on medical determinations.</w:t>
      </w:r>
    </w:p>
    <w:p w:rsidR="00B41E87" w:rsidRPr="00B41E87" w:rsidRDefault="00B41E87" w:rsidP="00B41E87">
      <w:pPr>
        <w:rPr>
          <w:b/>
          <w:color w:val="auto"/>
          <w:szCs w:val="24"/>
          <w:u w:val="single"/>
        </w:rPr>
      </w:pPr>
    </w:p>
    <w:p w:rsidR="00B41E87" w:rsidRPr="00B41E87" w:rsidRDefault="00B41E87" w:rsidP="00B41E87">
      <w:pPr>
        <w:rPr>
          <w:b/>
          <w:color w:val="auto"/>
          <w:szCs w:val="24"/>
          <w:u w:val="single"/>
        </w:rPr>
      </w:pPr>
    </w:p>
    <w:p w:rsidR="004334EE" w:rsidRPr="004334EE" w:rsidRDefault="004334EE" w:rsidP="004334EE">
      <w:pPr>
        <w:rPr>
          <w:color w:val="auto"/>
          <w:szCs w:val="24"/>
          <w:u w:val="single"/>
        </w:rPr>
      </w:pPr>
      <w:r w:rsidRPr="004334EE">
        <w:rPr>
          <w:b/>
          <w:color w:val="auto"/>
          <w:szCs w:val="24"/>
          <w:u w:val="single"/>
        </w:rPr>
        <w:t xml:space="preserve">§ 9792.6.1.  Utilization Review Standards—Definitions – On or After January 1, 2013. </w:t>
      </w:r>
      <w:r w:rsidRPr="004334EE">
        <w:rPr>
          <w:b/>
          <w:color w:val="auto"/>
          <w:szCs w:val="24"/>
          <w:u w:val="single"/>
        </w:rPr>
        <w:br/>
      </w:r>
    </w:p>
    <w:p w:rsidR="004334EE" w:rsidRPr="004334EE" w:rsidRDefault="004334EE" w:rsidP="004334EE">
      <w:pPr>
        <w:rPr>
          <w:rFonts w:eastAsia="Calibri"/>
          <w:color w:val="auto"/>
          <w:szCs w:val="24"/>
        </w:rPr>
      </w:pPr>
      <w:r w:rsidRPr="004334EE">
        <w:rPr>
          <w:rFonts w:eastAsia="Calibri"/>
          <w:color w:val="auto"/>
          <w:szCs w:val="24"/>
        </w:rPr>
        <w:t xml:space="preserve">(a) “Authorization” means assurance that appropriate reimbursement will be made for an approved specific course of proposed medical treatment to cure or relieve the effects of the industrial injury pursuant to section 4600 of the Labor Code, subject to the provisions of section 5402 of the Labor Code, based on </w:t>
      </w:r>
      <w:r w:rsidRPr="004334EE">
        <w:rPr>
          <w:rFonts w:eastAsia="Calibri"/>
          <w:strike/>
          <w:color w:val="auto"/>
          <w:szCs w:val="24"/>
          <w:highlight w:val="yellow"/>
        </w:rPr>
        <w:t>either</w:t>
      </w:r>
      <w:r w:rsidRPr="004334EE">
        <w:rPr>
          <w:rFonts w:eastAsia="Calibri"/>
          <w:b/>
          <w:color w:val="auto"/>
          <w:szCs w:val="24"/>
        </w:rPr>
        <w:t xml:space="preserve"> </w:t>
      </w:r>
      <w:r w:rsidRPr="004334EE">
        <w:rPr>
          <w:rFonts w:eastAsia="Calibri"/>
          <w:color w:val="auto"/>
          <w:szCs w:val="24"/>
        </w:rPr>
        <w:t xml:space="preserve">a completed “Request for Authorization for Medical Treatment,” DWC Form RFA, as contained in California Code of Regulations, title 8, section 9785.5, </w:t>
      </w:r>
      <w:r w:rsidRPr="004334EE">
        <w:rPr>
          <w:rFonts w:eastAsia="Calibri"/>
          <w:strike/>
          <w:color w:val="auto"/>
          <w:szCs w:val="24"/>
          <w:highlight w:val="yellow"/>
        </w:rPr>
        <w:t>or a request for authorization of medical treatment accepted as complete by the claims administrator under section 9792.9.1(c)(2),</w:t>
      </w:r>
      <w:r w:rsidRPr="004334EE">
        <w:rPr>
          <w:rFonts w:eastAsia="Calibri"/>
          <w:b/>
          <w:color w:val="auto"/>
          <w:szCs w:val="24"/>
        </w:rPr>
        <w:t xml:space="preserve"> </w:t>
      </w:r>
      <w:r w:rsidRPr="004334EE">
        <w:rPr>
          <w:rFonts w:eastAsia="Calibri"/>
          <w:color w:val="auto"/>
          <w:szCs w:val="24"/>
        </w:rPr>
        <w:t>that has been transmitted by the treating physician to the claims administrator. Authorization shall be given pursuant to the timeframe, procedure, and notice requirements of California Code of Regulations, title 8, section 9792.9.1, and may be provided by utilizing the indicated response section of the “Request for Authorization for Medical Treatment,” DWC Form RFA</w:t>
      </w:r>
      <w:r w:rsidRPr="004334EE">
        <w:rPr>
          <w:rFonts w:eastAsia="Calibri"/>
          <w:b/>
          <w:color w:val="auto"/>
          <w:szCs w:val="24"/>
        </w:rPr>
        <w:t xml:space="preserve"> </w:t>
      </w:r>
      <w:r w:rsidRPr="004334EE">
        <w:rPr>
          <w:rFonts w:eastAsia="Calibri"/>
          <w:color w:val="auto"/>
          <w:szCs w:val="24"/>
        </w:rPr>
        <w:t xml:space="preserve">if that form was initially submitted by the treating physician.   </w:t>
      </w:r>
    </w:p>
    <w:p w:rsidR="004334EE" w:rsidRPr="004334EE" w:rsidRDefault="004334EE" w:rsidP="004334EE">
      <w:pPr>
        <w:rPr>
          <w:rFonts w:eastAsia="Calibri"/>
          <w:color w:val="auto"/>
          <w:szCs w:val="24"/>
        </w:rPr>
      </w:pPr>
      <w:r w:rsidRPr="004334EE">
        <w:rPr>
          <w:rFonts w:eastAsia="Calibri"/>
          <w:color w:val="auto"/>
          <w:szCs w:val="24"/>
        </w:rPr>
        <w:t xml:space="preserve"> </w:t>
      </w:r>
    </w:p>
    <w:p w:rsidR="004334EE" w:rsidRPr="004334EE" w:rsidRDefault="004334EE" w:rsidP="004334EE">
      <w:pPr>
        <w:ind w:left="720"/>
        <w:rPr>
          <w:rFonts w:eastAsia="Calibri"/>
          <w:i/>
          <w:color w:val="auto"/>
          <w:szCs w:val="24"/>
        </w:rPr>
      </w:pPr>
      <w:r w:rsidRPr="004334EE">
        <w:rPr>
          <w:rFonts w:eastAsia="Calibri"/>
          <w:i/>
          <w:color w:val="auto"/>
          <w:szCs w:val="24"/>
        </w:rPr>
        <w:t>See</w:t>
      </w:r>
      <w:r w:rsidR="00E86433">
        <w:rPr>
          <w:rFonts w:eastAsia="Calibri"/>
          <w:i/>
          <w:color w:val="auto"/>
          <w:szCs w:val="24"/>
        </w:rPr>
        <w:t xml:space="preserve"> the comments </w:t>
      </w:r>
      <w:r w:rsidR="007C2B65">
        <w:rPr>
          <w:rFonts w:eastAsia="Calibri"/>
          <w:i/>
          <w:color w:val="auto"/>
          <w:szCs w:val="24"/>
        </w:rPr>
        <w:t xml:space="preserve">on a required form for submitting requests for authorization </w:t>
      </w:r>
      <w:r w:rsidR="00E86433">
        <w:rPr>
          <w:rFonts w:eastAsia="Calibri"/>
          <w:i/>
          <w:color w:val="auto"/>
          <w:szCs w:val="24"/>
        </w:rPr>
        <w:t>in the introduct</w:t>
      </w:r>
      <w:r w:rsidR="007C2B65">
        <w:rPr>
          <w:rFonts w:eastAsia="Calibri"/>
          <w:i/>
          <w:color w:val="auto"/>
          <w:szCs w:val="24"/>
        </w:rPr>
        <w:t>ory paragraphs of this document,</w:t>
      </w:r>
      <w:r w:rsidR="00E86433">
        <w:rPr>
          <w:rFonts w:eastAsia="Calibri"/>
          <w:i/>
          <w:color w:val="auto"/>
          <w:szCs w:val="24"/>
        </w:rPr>
        <w:t xml:space="preserve"> </w:t>
      </w:r>
      <w:r w:rsidR="007C2B65">
        <w:rPr>
          <w:rFonts w:eastAsia="Calibri"/>
          <w:i/>
          <w:color w:val="auto"/>
          <w:szCs w:val="24"/>
        </w:rPr>
        <w:t>the comments on section 9785.5, and similar comments on other sections throughout this document</w:t>
      </w:r>
      <w:r w:rsidRPr="004334EE">
        <w:rPr>
          <w:rFonts w:eastAsia="Calibri"/>
          <w:i/>
          <w:color w:val="auto"/>
          <w:szCs w:val="24"/>
        </w:rPr>
        <w:t>.</w:t>
      </w:r>
    </w:p>
    <w:p w:rsidR="005E1D3C" w:rsidRPr="004334EE" w:rsidRDefault="005E1D3C" w:rsidP="005E1D3C">
      <w:pPr>
        <w:rPr>
          <w:rFonts w:eastAsia="Calibri"/>
          <w:color w:val="auto"/>
          <w:szCs w:val="24"/>
        </w:rPr>
      </w:pPr>
    </w:p>
    <w:p w:rsidR="005E1D3C" w:rsidRPr="004334EE" w:rsidRDefault="005E1D3C" w:rsidP="005E1D3C">
      <w:pPr>
        <w:rPr>
          <w:rFonts w:eastAsia="Calibri"/>
          <w:color w:val="auto"/>
          <w:szCs w:val="24"/>
          <w:u w:val="single"/>
        </w:rPr>
      </w:pPr>
      <w:r w:rsidRPr="004334EE">
        <w:rPr>
          <w:rFonts w:eastAsia="Calibri"/>
          <w:color w:val="auto"/>
          <w:szCs w:val="24"/>
          <w:highlight w:val="yellow"/>
          <w:u w:val="single"/>
        </w:rPr>
        <w:t>(c) “Complete request for authorization” is one that is submitted on the DWC Form RFA with all applicable fields completed, the need for the requested treatment substantiated, the form signed by the treating physician, and reasonably requested additional information has been supplied.</w:t>
      </w:r>
    </w:p>
    <w:p w:rsidR="005E1D3C" w:rsidRPr="004334EE" w:rsidRDefault="005E1D3C" w:rsidP="005E1D3C">
      <w:pPr>
        <w:rPr>
          <w:rFonts w:eastAsia="Calibri"/>
          <w:color w:val="auto"/>
          <w:szCs w:val="24"/>
        </w:rPr>
      </w:pPr>
    </w:p>
    <w:p w:rsidR="005E1D3C" w:rsidRDefault="005E1D3C" w:rsidP="005E1D3C">
      <w:pPr>
        <w:ind w:left="720"/>
        <w:rPr>
          <w:rFonts w:eastAsia="Calibri"/>
          <w:i/>
          <w:color w:val="auto"/>
          <w:szCs w:val="24"/>
        </w:rPr>
      </w:pPr>
      <w:r w:rsidRPr="004334EE">
        <w:rPr>
          <w:rFonts w:eastAsia="Calibri"/>
          <w:i/>
          <w:color w:val="auto"/>
          <w:szCs w:val="24"/>
        </w:rPr>
        <w:t xml:space="preserve">A definition is needed so that it is clear what constitutes a complete request for authorization.  If </w:t>
      </w:r>
      <w:r>
        <w:rPr>
          <w:rFonts w:eastAsia="Calibri"/>
          <w:i/>
          <w:color w:val="auto"/>
          <w:szCs w:val="24"/>
        </w:rPr>
        <w:t xml:space="preserve">this additional subsection is </w:t>
      </w:r>
      <w:r w:rsidRPr="004334EE">
        <w:rPr>
          <w:rFonts w:eastAsia="Calibri"/>
          <w:i/>
          <w:color w:val="auto"/>
          <w:szCs w:val="24"/>
        </w:rPr>
        <w:t>accepted</w:t>
      </w:r>
      <w:r>
        <w:rPr>
          <w:rFonts w:eastAsia="Calibri"/>
          <w:i/>
          <w:color w:val="auto"/>
          <w:szCs w:val="24"/>
        </w:rPr>
        <w:t>,</w:t>
      </w:r>
      <w:r w:rsidRPr="004334EE">
        <w:rPr>
          <w:rFonts w:eastAsia="Calibri"/>
          <w:i/>
          <w:color w:val="auto"/>
          <w:szCs w:val="24"/>
        </w:rPr>
        <w:t xml:space="preserve"> it will be necessary to alphabetically reorder the definitions.</w:t>
      </w:r>
    </w:p>
    <w:p w:rsidR="005E1D3C" w:rsidRPr="004334EE" w:rsidRDefault="005E1D3C" w:rsidP="005E1D3C">
      <w:pPr>
        <w:ind w:left="720"/>
        <w:rPr>
          <w:rFonts w:eastAsia="Calibri"/>
          <w:i/>
          <w:color w:val="auto"/>
          <w:szCs w:val="24"/>
        </w:rPr>
      </w:pPr>
    </w:p>
    <w:p w:rsidR="004334EE" w:rsidRPr="004334EE" w:rsidRDefault="005E1D3C" w:rsidP="005E1D3C">
      <w:pPr>
        <w:rPr>
          <w:rFonts w:eastAsia="Calibri"/>
          <w:color w:val="auto"/>
          <w:szCs w:val="24"/>
        </w:rPr>
      </w:pPr>
      <w:r w:rsidRPr="004334EE">
        <w:rPr>
          <w:rFonts w:eastAsia="Calibri"/>
          <w:color w:val="auto"/>
          <w:szCs w:val="24"/>
        </w:rPr>
        <w:t xml:space="preserve"> </w:t>
      </w:r>
      <w:r w:rsidR="004334EE" w:rsidRPr="004334EE">
        <w:rPr>
          <w:rFonts w:eastAsia="Calibri"/>
          <w:color w:val="auto"/>
          <w:szCs w:val="24"/>
        </w:rPr>
        <w:t xml:space="preserve">(f) “Denial” means a decision by a physician reviewer that the requested treatment or service </w:t>
      </w:r>
      <w:r w:rsidR="004334EE" w:rsidRPr="004334EE">
        <w:rPr>
          <w:rFonts w:eastAsia="Calibri"/>
          <w:color w:val="auto"/>
          <w:szCs w:val="24"/>
          <w:highlight w:val="yellow"/>
          <w:u w:val="single"/>
        </w:rPr>
        <w:t>is not</w:t>
      </w:r>
      <w:r w:rsidR="004334EE" w:rsidRPr="004334EE">
        <w:rPr>
          <w:rFonts w:eastAsia="Calibri"/>
          <w:b/>
          <w:strike/>
          <w:color w:val="auto"/>
          <w:szCs w:val="24"/>
          <w:highlight w:val="yellow"/>
          <w:u w:val="single"/>
        </w:rPr>
        <w:t xml:space="preserve"> </w:t>
      </w:r>
      <w:r w:rsidR="004334EE" w:rsidRPr="004334EE">
        <w:rPr>
          <w:rFonts w:eastAsia="Calibri"/>
          <w:strike/>
          <w:color w:val="auto"/>
          <w:szCs w:val="24"/>
          <w:highlight w:val="yellow"/>
          <w:u w:val="single"/>
        </w:rPr>
        <w:t>cannot be</w:t>
      </w:r>
      <w:r w:rsidR="004334EE" w:rsidRPr="004334EE">
        <w:rPr>
          <w:rFonts w:eastAsia="Calibri"/>
          <w:b/>
          <w:strike/>
          <w:color w:val="auto"/>
          <w:szCs w:val="24"/>
        </w:rPr>
        <w:t xml:space="preserve"> </w:t>
      </w:r>
      <w:r w:rsidR="004334EE" w:rsidRPr="004334EE">
        <w:rPr>
          <w:rFonts w:eastAsia="Calibri"/>
          <w:color w:val="auto"/>
          <w:szCs w:val="24"/>
        </w:rPr>
        <w:t>authorized.</w:t>
      </w:r>
    </w:p>
    <w:p w:rsidR="004334EE" w:rsidRPr="004334EE" w:rsidRDefault="004334EE" w:rsidP="004334EE">
      <w:pPr>
        <w:rPr>
          <w:rFonts w:eastAsia="Calibri"/>
          <w:color w:val="auto"/>
          <w:szCs w:val="24"/>
          <w:u w:val="single"/>
        </w:rPr>
      </w:pPr>
    </w:p>
    <w:p w:rsidR="004334EE" w:rsidRPr="004334EE" w:rsidRDefault="004334EE" w:rsidP="004334EE">
      <w:pPr>
        <w:ind w:left="720"/>
        <w:rPr>
          <w:rFonts w:eastAsia="Calibri"/>
          <w:i/>
          <w:color w:val="auto"/>
          <w:szCs w:val="24"/>
        </w:rPr>
      </w:pPr>
      <w:r w:rsidRPr="004334EE">
        <w:rPr>
          <w:rFonts w:eastAsia="Calibri"/>
          <w:i/>
          <w:color w:val="auto"/>
          <w:szCs w:val="24"/>
        </w:rPr>
        <w:t>Some might argue over whether or not a physician reviewer is capable of authorizing.</w:t>
      </w:r>
      <w:r w:rsidR="00820C58" w:rsidRPr="00820C58">
        <w:rPr>
          <w:rFonts w:eastAsia="Calibri"/>
          <w:i/>
          <w:color w:val="auto"/>
          <w:szCs w:val="24"/>
        </w:rPr>
        <w:t xml:space="preserve"> </w:t>
      </w:r>
      <w:r w:rsidR="00820C58" w:rsidRPr="004334EE">
        <w:rPr>
          <w:rFonts w:eastAsia="Calibri"/>
          <w:i/>
          <w:color w:val="auto"/>
          <w:szCs w:val="24"/>
        </w:rPr>
        <w:t xml:space="preserve">“Is not” is the accurate </w:t>
      </w:r>
      <w:r w:rsidR="00820C58">
        <w:rPr>
          <w:rFonts w:eastAsia="Calibri"/>
          <w:i/>
          <w:color w:val="auto"/>
          <w:szCs w:val="24"/>
        </w:rPr>
        <w:t>term to use in this definition</w:t>
      </w:r>
      <w:r w:rsidR="00820C58" w:rsidRPr="004334EE">
        <w:rPr>
          <w:rFonts w:eastAsia="Calibri"/>
          <w:i/>
          <w:color w:val="auto"/>
          <w:szCs w:val="24"/>
        </w:rPr>
        <w:t xml:space="preserve">.  </w:t>
      </w:r>
    </w:p>
    <w:p w:rsidR="004334EE" w:rsidRPr="004334EE" w:rsidRDefault="004334EE" w:rsidP="004334EE">
      <w:pPr>
        <w:rPr>
          <w:rFonts w:eastAsia="Calibri"/>
          <w:color w:val="auto"/>
          <w:szCs w:val="24"/>
          <w:u w:val="single"/>
        </w:rPr>
      </w:pPr>
    </w:p>
    <w:p w:rsidR="004334EE" w:rsidRPr="004334EE" w:rsidRDefault="004334EE" w:rsidP="004334EE">
      <w:pPr>
        <w:rPr>
          <w:rFonts w:eastAsia="Calibri"/>
          <w:color w:val="auto"/>
          <w:szCs w:val="24"/>
        </w:rPr>
      </w:pPr>
      <w:r w:rsidRPr="004334EE">
        <w:rPr>
          <w:rFonts w:eastAsia="Calibri"/>
          <w:color w:val="auto"/>
          <w:szCs w:val="24"/>
        </w:rPr>
        <w:t xml:space="preserve"> (k)"Expert reviewer" means a medical doctor, doctor of osteopathy, psychologist, acupuncturist, optometrist, dentist, podiatrist, or chiropractic practitioner licensed by any state or the District of Columbia, competent to evaluate the specific clinical issues involved in the medical treatment services and where these services are within the individual's scope of practice, who has been consulted by the reviewer or the utilization review medical director to provide specialized review of medical information.</w:t>
      </w:r>
      <w:r w:rsidRPr="004334EE">
        <w:rPr>
          <w:rFonts w:eastAsia="Calibri"/>
          <w:strike/>
          <w:color w:val="auto"/>
          <w:szCs w:val="24"/>
        </w:rPr>
        <w:t xml:space="preserve">  </w:t>
      </w:r>
      <w:r w:rsidRPr="004334EE">
        <w:rPr>
          <w:rFonts w:eastAsia="Calibri"/>
          <w:strike/>
          <w:color w:val="auto"/>
          <w:szCs w:val="24"/>
          <w:highlight w:val="yellow"/>
        </w:rPr>
        <w:t>The expert reviewer shall not be an employee of the claims administrator or the utilization review organization under contract to provide or conduct the claims administrator’s utilization review responsibilities.</w:t>
      </w:r>
      <w:r w:rsidRPr="004334EE">
        <w:rPr>
          <w:rFonts w:eastAsia="Calibri"/>
          <w:strike/>
          <w:color w:val="auto"/>
          <w:szCs w:val="24"/>
        </w:rPr>
        <w:t xml:space="preserve">  </w:t>
      </w:r>
    </w:p>
    <w:p w:rsidR="004334EE" w:rsidRPr="004334EE" w:rsidRDefault="004334EE" w:rsidP="004334EE">
      <w:pPr>
        <w:rPr>
          <w:rFonts w:eastAsia="Calibri"/>
          <w:color w:val="auto"/>
          <w:szCs w:val="24"/>
          <w:u w:val="single"/>
        </w:rPr>
      </w:pPr>
    </w:p>
    <w:p w:rsidR="004334EE" w:rsidRPr="004334EE" w:rsidRDefault="004334EE" w:rsidP="004334EE">
      <w:pPr>
        <w:ind w:left="720"/>
        <w:rPr>
          <w:rFonts w:eastAsia="Calibri"/>
          <w:i/>
          <w:color w:val="auto"/>
          <w:szCs w:val="24"/>
        </w:rPr>
      </w:pPr>
      <w:r w:rsidRPr="004334EE">
        <w:rPr>
          <w:rFonts w:eastAsia="Calibri"/>
          <w:i/>
          <w:color w:val="auto"/>
          <w:szCs w:val="24"/>
        </w:rPr>
        <w:lastRenderedPageBreak/>
        <w:t>The DWC’s modification implies there is something improper about a claims administrator or URO having a specialist on staff.  It is not improper and is in fact</w:t>
      </w:r>
      <w:r w:rsidR="00822121">
        <w:rPr>
          <w:rFonts w:eastAsia="Calibri"/>
          <w:i/>
          <w:color w:val="auto"/>
          <w:szCs w:val="24"/>
        </w:rPr>
        <w:t>,</w:t>
      </w:r>
      <w:r w:rsidRPr="004334EE">
        <w:rPr>
          <w:rFonts w:eastAsia="Calibri"/>
          <w:i/>
          <w:color w:val="auto"/>
          <w:szCs w:val="24"/>
        </w:rPr>
        <w:t xml:space="preserve"> appropriate for an expert reviewer to be</w:t>
      </w:r>
      <w:r w:rsidRPr="004334EE">
        <w:rPr>
          <w:rFonts w:eastAsia="Calibri"/>
          <w:color w:val="auto"/>
        </w:rPr>
        <w:t xml:space="preserve"> </w:t>
      </w:r>
      <w:r w:rsidRPr="004334EE">
        <w:rPr>
          <w:rFonts w:eastAsia="Calibri"/>
          <w:i/>
          <w:color w:val="auto"/>
          <w:szCs w:val="24"/>
        </w:rPr>
        <w:t>an employee of the claims administrator or its utilization review organization.  It can also be a practical necessity to meet the abbreviated workers’ compensation utilization review timelines in California.</w:t>
      </w:r>
    </w:p>
    <w:p w:rsidR="004334EE" w:rsidRPr="004334EE" w:rsidRDefault="004334EE" w:rsidP="004334EE">
      <w:pPr>
        <w:rPr>
          <w:rFonts w:eastAsia="Calibri"/>
          <w:szCs w:val="24"/>
          <w:highlight w:val="yellow"/>
          <w:u w:val="single"/>
          <w:shd w:val="clear" w:color="auto" w:fill="FFFFFF"/>
        </w:rPr>
      </w:pPr>
      <w:r w:rsidRPr="004334EE">
        <w:rPr>
          <w:rFonts w:eastAsia="Calibri"/>
          <w:color w:val="auto"/>
          <w:szCs w:val="24"/>
          <w:u w:val="single"/>
        </w:rPr>
        <w:br/>
      </w:r>
      <w:r w:rsidRPr="004334EE">
        <w:rPr>
          <w:rFonts w:eastAsia="Calibri"/>
          <w:szCs w:val="24"/>
          <w:highlight w:val="yellow"/>
          <w:u w:val="single"/>
          <w:shd w:val="clear" w:color="auto" w:fill="FFFFFF"/>
        </w:rPr>
        <w:t>(r) “Medically necessary” and “medical necessity” mean medical treatment that is reasonably required to cure or relieve the employee of the effects of their injury and based on the following standards, which shall be applied in the order listed, allowing reliance on a lower ranked standard only if every higher ranked standard is inapplicable to the employee’s medical condition:</w:t>
      </w:r>
    </w:p>
    <w:p w:rsidR="004334EE" w:rsidRPr="00777A48" w:rsidRDefault="004334EE" w:rsidP="003D297C">
      <w:pPr>
        <w:ind w:left="360"/>
        <w:rPr>
          <w:rFonts w:eastAsia="Calibri"/>
          <w:sz w:val="16"/>
          <w:szCs w:val="24"/>
          <w:highlight w:val="yellow"/>
          <w:u w:val="single"/>
          <w:shd w:val="clear" w:color="auto" w:fill="FFFFFF"/>
        </w:rPr>
      </w:pPr>
    </w:p>
    <w:p w:rsidR="004334EE" w:rsidRPr="004334EE" w:rsidRDefault="004334EE" w:rsidP="003D297C">
      <w:pPr>
        <w:ind w:left="360"/>
        <w:rPr>
          <w:rFonts w:eastAsia="Calibri"/>
          <w:color w:val="auto"/>
          <w:szCs w:val="24"/>
          <w:highlight w:val="yellow"/>
          <w:u w:val="single"/>
        </w:rPr>
      </w:pPr>
      <w:r w:rsidRPr="004334EE">
        <w:rPr>
          <w:rFonts w:eastAsia="Calibri"/>
          <w:szCs w:val="24"/>
          <w:highlight w:val="yellow"/>
          <w:u w:val="single"/>
          <w:shd w:val="clear" w:color="auto" w:fill="FFFFFF"/>
        </w:rPr>
        <w:t xml:space="preserve">(1) </w:t>
      </w:r>
      <w:r w:rsidRPr="004334EE">
        <w:rPr>
          <w:rFonts w:eastAsia="Calibri"/>
          <w:color w:val="auto"/>
          <w:szCs w:val="24"/>
          <w:highlight w:val="yellow"/>
          <w:u w:val="single"/>
        </w:rPr>
        <w:t xml:space="preserve"> The Medical Treatment Utilization Schedule.</w:t>
      </w:r>
    </w:p>
    <w:p w:rsidR="004334EE" w:rsidRPr="00777A48" w:rsidRDefault="004334EE" w:rsidP="003D297C">
      <w:pPr>
        <w:ind w:left="360"/>
        <w:rPr>
          <w:rFonts w:eastAsia="Calibri"/>
          <w:sz w:val="16"/>
          <w:szCs w:val="24"/>
          <w:highlight w:val="yellow"/>
          <w:u w:val="single"/>
          <w:shd w:val="clear" w:color="auto" w:fill="FFFFFF"/>
        </w:rPr>
      </w:pPr>
    </w:p>
    <w:p w:rsidR="004334EE" w:rsidRPr="004334EE" w:rsidRDefault="004334EE" w:rsidP="003D297C">
      <w:pPr>
        <w:ind w:left="360"/>
        <w:rPr>
          <w:rFonts w:eastAsia="Calibri"/>
          <w:szCs w:val="24"/>
          <w:highlight w:val="yellow"/>
          <w:u w:val="single"/>
          <w:shd w:val="clear" w:color="auto" w:fill="FFFFFF"/>
        </w:rPr>
      </w:pPr>
      <w:r w:rsidRPr="004334EE">
        <w:rPr>
          <w:rFonts w:eastAsia="Calibri"/>
          <w:szCs w:val="24"/>
          <w:highlight w:val="yellow"/>
          <w:u w:val="single"/>
          <w:shd w:val="clear" w:color="auto" w:fill="FFFFFF"/>
        </w:rPr>
        <w:t>(2) Peer-reviewed scientific and medical evidence regarding the effectiveness of the disputed service.</w:t>
      </w:r>
    </w:p>
    <w:p w:rsidR="004334EE" w:rsidRPr="00777A48" w:rsidRDefault="004334EE" w:rsidP="003D297C">
      <w:pPr>
        <w:ind w:left="360"/>
        <w:rPr>
          <w:rFonts w:eastAsia="Calibri"/>
          <w:sz w:val="16"/>
          <w:szCs w:val="24"/>
          <w:highlight w:val="yellow"/>
          <w:u w:val="single"/>
          <w:shd w:val="clear" w:color="auto" w:fill="FFFFFF"/>
        </w:rPr>
      </w:pPr>
    </w:p>
    <w:p w:rsidR="004334EE" w:rsidRPr="004334EE" w:rsidRDefault="004334EE" w:rsidP="003D297C">
      <w:pPr>
        <w:ind w:left="360"/>
        <w:rPr>
          <w:rFonts w:eastAsia="Calibri"/>
          <w:szCs w:val="24"/>
          <w:highlight w:val="yellow"/>
          <w:u w:val="single"/>
          <w:shd w:val="clear" w:color="auto" w:fill="FFFFFF"/>
        </w:rPr>
      </w:pPr>
      <w:r w:rsidRPr="004334EE">
        <w:rPr>
          <w:rFonts w:eastAsia="Calibri"/>
          <w:szCs w:val="24"/>
          <w:highlight w:val="yellow"/>
          <w:u w:val="single"/>
          <w:shd w:val="clear" w:color="auto" w:fill="FFFFFF"/>
        </w:rPr>
        <w:t>(3) Nationally recognized professional standards.</w:t>
      </w:r>
    </w:p>
    <w:p w:rsidR="004334EE" w:rsidRPr="00777A48" w:rsidRDefault="004334EE" w:rsidP="003D297C">
      <w:pPr>
        <w:ind w:left="360"/>
        <w:rPr>
          <w:rFonts w:eastAsia="Calibri"/>
          <w:sz w:val="16"/>
          <w:szCs w:val="24"/>
          <w:highlight w:val="yellow"/>
          <w:u w:val="single"/>
          <w:shd w:val="clear" w:color="auto" w:fill="FFFFFF"/>
        </w:rPr>
      </w:pPr>
    </w:p>
    <w:p w:rsidR="004334EE" w:rsidRPr="004334EE" w:rsidRDefault="004334EE" w:rsidP="003D297C">
      <w:pPr>
        <w:ind w:left="360"/>
        <w:rPr>
          <w:rFonts w:eastAsia="Calibri"/>
          <w:szCs w:val="24"/>
          <w:highlight w:val="yellow"/>
          <w:u w:val="single"/>
          <w:shd w:val="clear" w:color="auto" w:fill="FFFFFF"/>
        </w:rPr>
      </w:pPr>
      <w:r w:rsidRPr="004334EE">
        <w:rPr>
          <w:rFonts w:eastAsia="Calibri"/>
          <w:szCs w:val="24"/>
          <w:highlight w:val="yellow"/>
          <w:u w:val="single"/>
          <w:shd w:val="clear" w:color="auto" w:fill="FFFFFF"/>
        </w:rPr>
        <w:t>(4) Expert opinion</w:t>
      </w:r>
      <w:r w:rsidR="004C3B50" w:rsidRPr="007E4F51">
        <w:rPr>
          <w:rFonts w:eastAsia="Calibri"/>
          <w:szCs w:val="24"/>
          <w:highlight w:val="yellow"/>
          <w:u w:val="single"/>
          <w:shd w:val="clear" w:color="auto" w:fill="FFFFFF"/>
        </w:rPr>
        <w:t xml:space="preserve"> </w:t>
      </w:r>
      <w:r w:rsidR="004C3B50" w:rsidRPr="007E4F51">
        <w:rPr>
          <w:rFonts w:eastAsia="Calibri"/>
          <w:b/>
          <w:szCs w:val="24"/>
          <w:highlight w:val="yellow"/>
          <w:u w:val="single"/>
          <w:shd w:val="clear" w:color="auto" w:fill="FFFFFF"/>
        </w:rPr>
        <w:t>that is based on evidence that is peer-reviewed and nationally recognized</w:t>
      </w:r>
      <w:r w:rsidRPr="004334EE">
        <w:rPr>
          <w:rFonts w:eastAsia="Calibri"/>
          <w:szCs w:val="24"/>
          <w:highlight w:val="yellow"/>
          <w:u w:val="single"/>
          <w:shd w:val="clear" w:color="auto" w:fill="FFFFFF"/>
        </w:rPr>
        <w:t>.</w:t>
      </w:r>
    </w:p>
    <w:p w:rsidR="004334EE" w:rsidRPr="00777A48" w:rsidRDefault="004334EE" w:rsidP="003D297C">
      <w:pPr>
        <w:ind w:left="360"/>
        <w:rPr>
          <w:rFonts w:eastAsia="Calibri"/>
          <w:sz w:val="16"/>
          <w:szCs w:val="24"/>
          <w:highlight w:val="yellow"/>
          <w:u w:val="single"/>
          <w:shd w:val="clear" w:color="auto" w:fill="FFFFFF"/>
        </w:rPr>
      </w:pPr>
    </w:p>
    <w:p w:rsidR="004334EE" w:rsidRPr="004334EE" w:rsidRDefault="004334EE" w:rsidP="003D297C">
      <w:pPr>
        <w:ind w:left="360"/>
        <w:rPr>
          <w:rFonts w:eastAsia="Calibri"/>
          <w:szCs w:val="24"/>
          <w:highlight w:val="yellow"/>
          <w:u w:val="single"/>
          <w:shd w:val="clear" w:color="auto" w:fill="FFFFFF"/>
        </w:rPr>
      </w:pPr>
      <w:r w:rsidRPr="004334EE">
        <w:rPr>
          <w:rFonts w:eastAsia="Calibri"/>
          <w:szCs w:val="24"/>
          <w:highlight w:val="yellow"/>
          <w:u w:val="single"/>
          <w:shd w:val="clear" w:color="auto" w:fill="FFFFFF"/>
        </w:rPr>
        <w:t>(5) Generally accepted standards of medical practice</w:t>
      </w:r>
      <w:r w:rsidR="004C3B50" w:rsidRPr="007E4F51">
        <w:rPr>
          <w:rFonts w:eastAsia="Calibri"/>
          <w:szCs w:val="24"/>
          <w:highlight w:val="yellow"/>
          <w:u w:val="single"/>
          <w:shd w:val="clear" w:color="auto" w:fill="FFFFFF"/>
        </w:rPr>
        <w:t xml:space="preserve"> </w:t>
      </w:r>
      <w:r w:rsidR="004C3B50" w:rsidRPr="007E4F51">
        <w:rPr>
          <w:rFonts w:eastAsia="Calibri"/>
          <w:b/>
          <w:szCs w:val="24"/>
          <w:highlight w:val="yellow"/>
          <w:u w:val="single"/>
          <w:shd w:val="clear" w:color="auto" w:fill="FFFFFF"/>
        </w:rPr>
        <w:t>that are nationally recognized, evidence-based, and published in peer-reviewed national journals</w:t>
      </w:r>
      <w:r w:rsidRPr="004334EE">
        <w:rPr>
          <w:rFonts w:eastAsia="Calibri"/>
          <w:szCs w:val="24"/>
          <w:highlight w:val="yellow"/>
          <w:u w:val="single"/>
          <w:shd w:val="clear" w:color="auto" w:fill="FFFFFF"/>
        </w:rPr>
        <w:t>.</w:t>
      </w:r>
    </w:p>
    <w:p w:rsidR="004334EE" w:rsidRPr="00777A48" w:rsidRDefault="004334EE" w:rsidP="003D297C">
      <w:pPr>
        <w:ind w:left="360"/>
        <w:rPr>
          <w:rFonts w:eastAsia="Calibri"/>
          <w:sz w:val="16"/>
          <w:szCs w:val="24"/>
          <w:highlight w:val="yellow"/>
          <w:u w:val="single"/>
          <w:shd w:val="clear" w:color="auto" w:fill="FFFFFF"/>
        </w:rPr>
      </w:pPr>
    </w:p>
    <w:p w:rsidR="004334EE" w:rsidRPr="004334EE" w:rsidRDefault="004334EE" w:rsidP="003D297C">
      <w:pPr>
        <w:ind w:left="360"/>
        <w:rPr>
          <w:rFonts w:eastAsia="Calibri"/>
          <w:szCs w:val="24"/>
          <w:u w:val="single"/>
          <w:shd w:val="clear" w:color="auto" w:fill="FFFFFF"/>
        </w:rPr>
      </w:pPr>
      <w:r w:rsidRPr="004334EE">
        <w:rPr>
          <w:rFonts w:eastAsia="Calibri"/>
          <w:szCs w:val="24"/>
          <w:highlight w:val="yellow"/>
          <w:u w:val="single"/>
          <w:shd w:val="clear" w:color="auto" w:fill="FFFFFF"/>
        </w:rPr>
        <w:t>(6) Treatments that are likely to provide a benefit to a patient</w:t>
      </w:r>
      <w:r w:rsidR="004C3B50" w:rsidRPr="007E4F51">
        <w:rPr>
          <w:rFonts w:eastAsia="Calibri"/>
          <w:b/>
          <w:szCs w:val="24"/>
          <w:highlight w:val="yellow"/>
          <w:u w:val="single"/>
          <w:shd w:val="clear" w:color="auto" w:fill="FFFFFF"/>
        </w:rPr>
        <w:t>, according to articles published in evidence-based, peer-reviewed and nationally recognized journals,</w:t>
      </w:r>
      <w:r w:rsidRPr="004334EE">
        <w:rPr>
          <w:rFonts w:eastAsia="Calibri"/>
          <w:szCs w:val="24"/>
          <w:highlight w:val="yellow"/>
          <w:u w:val="single"/>
          <w:shd w:val="clear" w:color="auto" w:fill="FFFFFF"/>
        </w:rPr>
        <w:t xml:space="preserve"> for conditions for which other treatments are not clinically efficacious.</w:t>
      </w:r>
    </w:p>
    <w:p w:rsidR="004334EE" w:rsidRPr="004334EE" w:rsidRDefault="004334EE" w:rsidP="00777A48">
      <w:pPr>
        <w:ind w:left="720"/>
        <w:rPr>
          <w:rFonts w:eastAsia="Calibri"/>
          <w:szCs w:val="24"/>
          <w:u w:val="single"/>
          <w:shd w:val="clear" w:color="auto" w:fill="FFFFFF"/>
        </w:rPr>
      </w:pPr>
    </w:p>
    <w:p w:rsidR="00187561" w:rsidRDefault="00B60D6C" w:rsidP="00187561">
      <w:pPr>
        <w:ind w:left="720"/>
        <w:rPr>
          <w:rFonts w:eastAsia="Calibri"/>
          <w:i/>
          <w:szCs w:val="24"/>
          <w:shd w:val="clear" w:color="auto" w:fill="FFFFFF"/>
        </w:rPr>
      </w:pPr>
      <w:r>
        <w:rPr>
          <w:rFonts w:eastAsia="Calibri"/>
          <w:i/>
          <w:szCs w:val="24"/>
          <w:shd w:val="clear" w:color="auto" w:fill="FFFFFF"/>
        </w:rPr>
        <w:t>The Institute recommends r</w:t>
      </w:r>
      <w:r w:rsidR="004334EE" w:rsidRPr="004334EE">
        <w:rPr>
          <w:rFonts w:eastAsia="Calibri"/>
          <w:i/>
          <w:szCs w:val="24"/>
          <w:shd w:val="clear" w:color="auto" w:fill="FFFFFF"/>
        </w:rPr>
        <w:t>estor</w:t>
      </w:r>
      <w:r>
        <w:rPr>
          <w:rFonts w:eastAsia="Calibri"/>
          <w:i/>
          <w:szCs w:val="24"/>
          <w:shd w:val="clear" w:color="auto" w:fill="FFFFFF"/>
        </w:rPr>
        <w:t xml:space="preserve">ing the definition for “medically necessary” and “medical necessity” with the modifications indicated </w:t>
      </w:r>
      <w:r w:rsidR="004334EE" w:rsidRPr="004334EE">
        <w:rPr>
          <w:rFonts w:eastAsia="Calibri"/>
          <w:i/>
          <w:szCs w:val="24"/>
          <w:shd w:val="clear" w:color="auto" w:fill="FFFFFF"/>
        </w:rPr>
        <w:t xml:space="preserve">in </w:t>
      </w:r>
      <w:r>
        <w:rPr>
          <w:rFonts w:eastAsia="Calibri"/>
          <w:i/>
          <w:szCs w:val="24"/>
          <w:shd w:val="clear" w:color="auto" w:fill="FFFFFF"/>
        </w:rPr>
        <w:t>bold</w:t>
      </w:r>
      <w:r w:rsidR="004334EE" w:rsidRPr="004334EE">
        <w:rPr>
          <w:rFonts w:eastAsia="Calibri"/>
          <w:i/>
          <w:szCs w:val="24"/>
          <w:shd w:val="clear" w:color="auto" w:fill="FFFFFF"/>
        </w:rPr>
        <w:t xml:space="preserve">.  </w:t>
      </w:r>
      <w:r w:rsidR="00D012DB">
        <w:rPr>
          <w:rFonts w:eastAsia="Calibri"/>
          <w:i/>
          <w:szCs w:val="24"/>
          <w:shd w:val="clear" w:color="auto" w:fill="FFFFFF"/>
        </w:rPr>
        <w:t xml:space="preserve">It is important that all </w:t>
      </w:r>
      <w:r w:rsidR="00187561">
        <w:rPr>
          <w:rFonts w:eastAsia="Calibri"/>
          <w:i/>
          <w:szCs w:val="24"/>
          <w:shd w:val="clear" w:color="auto" w:fill="FFFFFF"/>
        </w:rPr>
        <w:t xml:space="preserve">participants know the standards that must be followed for treatment plans, utilization review and independent medical review.  </w:t>
      </w:r>
    </w:p>
    <w:p w:rsidR="005C0105" w:rsidRDefault="005C0105" w:rsidP="00187561">
      <w:pPr>
        <w:ind w:left="720"/>
        <w:rPr>
          <w:rFonts w:eastAsia="Calibri"/>
          <w:i/>
          <w:szCs w:val="24"/>
          <w:shd w:val="clear" w:color="auto" w:fill="FFFFFF"/>
        </w:rPr>
      </w:pPr>
    </w:p>
    <w:p w:rsidR="00187561" w:rsidRDefault="00187561" w:rsidP="00187561">
      <w:pPr>
        <w:ind w:left="720"/>
        <w:rPr>
          <w:i/>
          <w:iCs/>
          <w:shd w:val="clear" w:color="auto" w:fill="FFFFFF"/>
        </w:rPr>
      </w:pPr>
      <w:r>
        <w:rPr>
          <w:i/>
          <w:iCs/>
          <w:shd w:val="clear" w:color="auto" w:fill="FFFFFF"/>
        </w:rPr>
        <w:t xml:space="preserve">The standards for utilization review must remain consistent with Labor Code sections 4600, 4610(f) and 5307.27.  The recommended modifications are necessary to harmonize these sections and the standards for Independent Medical Review in Labor Code section 4610.5(c).  The recommended modifications are consistent with Labor Code section 5307.27 standards which are required to be evidence-based, peer reviewed, and nationally recognized.  </w:t>
      </w:r>
    </w:p>
    <w:p w:rsidR="005C0105" w:rsidRDefault="005C0105" w:rsidP="00187561">
      <w:pPr>
        <w:ind w:left="720"/>
        <w:rPr>
          <w:i/>
          <w:iCs/>
          <w:shd w:val="clear" w:color="auto" w:fill="FFFFFF"/>
        </w:rPr>
      </w:pPr>
    </w:p>
    <w:p w:rsidR="005C0105" w:rsidRDefault="005C0105" w:rsidP="00187561">
      <w:pPr>
        <w:ind w:left="720"/>
        <w:rPr>
          <w:i/>
          <w:iCs/>
        </w:rPr>
      </w:pPr>
      <w:r>
        <w:rPr>
          <w:i/>
          <w:iCs/>
          <w:shd w:val="clear" w:color="auto" w:fill="FFFFFF"/>
        </w:rPr>
        <w:t>See also the comments in the introduction to these comments.</w:t>
      </w:r>
    </w:p>
    <w:p w:rsidR="004334EE" w:rsidRPr="004334EE" w:rsidRDefault="004334EE" w:rsidP="004334EE">
      <w:pPr>
        <w:rPr>
          <w:rFonts w:eastAsia="Calibri"/>
          <w:color w:val="auto"/>
          <w:szCs w:val="24"/>
          <w:u w:val="single"/>
        </w:rPr>
      </w:pPr>
    </w:p>
    <w:p w:rsidR="004334EE" w:rsidRPr="004334EE" w:rsidRDefault="004334EE" w:rsidP="004334EE">
      <w:pPr>
        <w:rPr>
          <w:rFonts w:eastAsia="Calibri"/>
          <w:color w:val="auto"/>
          <w:szCs w:val="24"/>
        </w:rPr>
      </w:pPr>
      <w:r w:rsidRPr="004334EE">
        <w:rPr>
          <w:rFonts w:eastAsia="Calibri"/>
          <w:color w:val="auto"/>
          <w:szCs w:val="24"/>
        </w:rPr>
        <w:t>(t)(1)</w:t>
      </w:r>
      <w:r w:rsidRPr="004334EE">
        <w:rPr>
          <w:rFonts w:eastAsia="Calibri"/>
          <w:b/>
          <w:color w:val="auto"/>
          <w:szCs w:val="24"/>
        </w:rPr>
        <w:t xml:space="preserve"> </w:t>
      </w:r>
      <w:r w:rsidRPr="00546188">
        <w:rPr>
          <w:rFonts w:eastAsia="Calibri"/>
          <w:strike/>
          <w:color w:val="auto"/>
          <w:szCs w:val="24"/>
          <w:highlight w:val="yellow"/>
        </w:rPr>
        <w:t>Unless accepted  by a claims administrator under section 9792.9.1(c)(2),</w:t>
      </w:r>
      <w:r w:rsidRPr="00546188">
        <w:rPr>
          <w:rFonts w:eastAsia="Calibri"/>
          <w:color w:val="auto"/>
          <w:szCs w:val="24"/>
        </w:rPr>
        <w:t xml:space="preserve"> A</w:t>
      </w:r>
      <w:r w:rsidRPr="004334EE">
        <w:rPr>
          <w:rFonts w:eastAsia="Calibri"/>
          <w:color w:val="auto"/>
          <w:szCs w:val="24"/>
        </w:rPr>
        <w:t xml:space="preserve"> request for authorization must be set forth on a “Request for Authorization for Medical Treatment (DWC Form RFA),” completed by a treating physician, as contained in California Code of Regulations, title 8, section 9785.5.  </w:t>
      </w:r>
      <w:r w:rsidRPr="004334EE">
        <w:rPr>
          <w:rFonts w:eastAsia="Calibri"/>
          <w:strike/>
          <w:color w:val="auto"/>
          <w:szCs w:val="24"/>
          <w:highlight w:val="yellow"/>
        </w:rPr>
        <w:t xml:space="preserve">Prior to March 1, 2014, any </w:t>
      </w:r>
      <w:r w:rsidRPr="004334EE">
        <w:rPr>
          <w:rFonts w:eastAsia="Calibri"/>
          <w:strike/>
          <w:color w:val="auto"/>
          <w:szCs w:val="24"/>
          <w:highlight w:val="yellow"/>
        </w:rPr>
        <w:lastRenderedPageBreak/>
        <w:t>version of the DWC Form RFA adopted by the Administrative Director under section 9785.5 may be used by the treating physician to request medical treatment.</w:t>
      </w:r>
    </w:p>
    <w:p w:rsidR="004334EE" w:rsidRPr="004334EE" w:rsidRDefault="004334EE" w:rsidP="004334EE">
      <w:pPr>
        <w:rPr>
          <w:rFonts w:eastAsia="Calibri"/>
          <w:b/>
          <w:color w:val="auto"/>
          <w:szCs w:val="24"/>
        </w:rPr>
      </w:pPr>
    </w:p>
    <w:p w:rsidR="00CD11BD" w:rsidRPr="004334EE" w:rsidRDefault="00CD11BD" w:rsidP="00CD11BD">
      <w:pPr>
        <w:ind w:left="720"/>
        <w:rPr>
          <w:rFonts w:eastAsia="Calibri"/>
          <w:i/>
          <w:color w:val="auto"/>
          <w:szCs w:val="24"/>
        </w:rPr>
      </w:pPr>
      <w:r w:rsidRPr="004334EE">
        <w:rPr>
          <w:rFonts w:eastAsia="Calibri"/>
          <w:i/>
          <w:color w:val="auto"/>
          <w:szCs w:val="24"/>
        </w:rPr>
        <w:t>See</w:t>
      </w:r>
      <w:r>
        <w:rPr>
          <w:rFonts w:eastAsia="Calibri"/>
          <w:i/>
          <w:color w:val="auto"/>
          <w:szCs w:val="24"/>
        </w:rPr>
        <w:t xml:space="preserve"> the comments on a required form for submitting requests for authorization in the introductory paragraphs of this document, the comments on section 9785.5, and similar comments on other sections throughout this document</w:t>
      </w:r>
      <w:r w:rsidRPr="004334EE">
        <w:rPr>
          <w:rFonts w:eastAsia="Calibri"/>
          <w:i/>
          <w:color w:val="auto"/>
          <w:szCs w:val="24"/>
        </w:rPr>
        <w:t>.</w:t>
      </w:r>
    </w:p>
    <w:p w:rsidR="00CD11BD" w:rsidRPr="004334EE" w:rsidRDefault="00CD11BD" w:rsidP="00CD11BD">
      <w:pPr>
        <w:rPr>
          <w:rFonts w:eastAsia="Calibri"/>
          <w:color w:val="auto"/>
          <w:szCs w:val="24"/>
        </w:rPr>
      </w:pPr>
    </w:p>
    <w:p w:rsidR="004334EE" w:rsidRPr="004334EE" w:rsidRDefault="004334EE" w:rsidP="004334EE">
      <w:pPr>
        <w:ind w:left="720"/>
        <w:rPr>
          <w:rFonts w:eastAsia="Calibri"/>
          <w:i/>
          <w:color w:val="auto"/>
          <w:szCs w:val="24"/>
        </w:rPr>
      </w:pPr>
      <w:r w:rsidRPr="004334EE">
        <w:rPr>
          <w:rFonts w:eastAsia="Calibri"/>
          <w:i/>
          <w:color w:val="auto"/>
          <w:szCs w:val="24"/>
        </w:rPr>
        <w:t xml:space="preserve">The Institute recommends requiring the use of the form adopted in this rulemaking on a going-forward basis for all requests for review submitted after the permanent regulations are implemented, or starting on a date certain, to avoid confusion and dispute over the instructions and rules that should apply.  </w:t>
      </w:r>
    </w:p>
    <w:p w:rsidR="004334EE" w:rsidRPr="004334EE" w:rsidRDefault="004334EE" w:rsidP="004334EE">
      <w:pPr>
        <w:rPr>
          <w:rFonts w:eastAsia="Calibri"/>
          <w:b/>
          <w:color w:val="auto"/>
          <w:szCs w:val="24"/>
          <w:u w:val="single"/>
        </w:rPr>
      </w:pPr>
    </w:p>
    <w:p w:rsidR="004334EE" w:rsidRPr="004334EE" w:rsidRDefault="000636AB" w:rsidP="004334EE">
      <w:pPr>
        <w:rPr>
          <w:rFonts w:eastAsia="Calibri"/>
          <w:color w:val="auto"/>
          <w:szCs w:val="24"/>
        </w:rPr>
      </w:pPr>
      <w:r w:rsidRPr="000636AB">
        <w:rPr>
          <w:rFonts w:eastAsia="Calibri"/>
          <w:color w:val="auto"/>
          <w:szCs w:val="24"/>
        </w:rPr>
        <w:t>(t)</w:t>
      </w:r>
      <w:r w:rsidR="004334EE" w:rsidRPr="004334EE">
        <w:rPr>
          <w:rFonts w:eastAsia="Calibri"/>
          <w:color w:val="auto"/>
          <w:szCs w:val="24"/>
        </w:rPr>
        <w:t>(2)</w:t>
      </w:r>
      <w:r w:rsidR="004334EE" w:rsidRPr="004334EE">
        <w:rPr>
          <w:rFonts w:eastAsia="Calibri"/>
          <w:b/>
          <w:color w:val="auto"/>
          <w:szCs w:val="24"/>
        </w:rPr>
        <w:t xml:space="preserve"> </w:t>
      </w:r>
      <w:r w:rsidR="004334EE" w:rsidRPr="004334EE">
        <w:rPr>
          <w:rFonts w:eastAsia="Calibri"/>
          <w:color w:val="auto"/>
          <w:szCs w:val="24"/>
        </w:rPr>
        <w:t xml:space="preserve">“Completed,” for the purpose of this section and for purposes of investigations and penalties, means that </w:t>
      </w:r>
      <w:r w:rsidR="004334EE" w:rsidRPr="004334EE">
        <w:rPr>
          <w:rFonts w:eastAsia="Calibri"/>
          <w:color w:val="auto"/>
          <w:szCs w:val="24"/>
          <w:highlight w:val="yellow"/>
          <w:u w:val="single"/>
        </w:rPr>
        <w:t>information specific to the request has been provided by the requesting treating physician for all fields indicated on the DWC Form RFA,</w:t>
      </w:r>
      <w:r w:rsidR="004334EE" w:rsidRPr="004334EE">
        <w:rPr>
          <w:rFonts w:eastAsia="Calibri"/>
          <w:color w:val="auto"/>
          <w:szCs w:val="24"/>
          <w:highlight w:val="yellow"/>
        </w:rPr>
        <w:t xml:space="preserve"> </w:t>
      </w:r>
      <w:r w:rsidR="004334EE" w:rsidRPr="004334EE">
        <w:rPr>
          <w:rFonts w:eastAsia="Calibri"/>
          <w:strike/>
          <w:color w:val="auto"/>
          <w:szCs w:val="24"/>
          <w:highlight w:val="yellow"/>
        </w:rPr>
        <w:t xml:space="preserve">the request for authorization must </w:t>
      </w:r>
      <w:r w:rsidR="00415378">
        <w:rPr>
          <w:rFonts w:eastAsia="Calibri"/>
          <w:color w:val="auto"/>
          <w:szCs w:val="24"/>
          <w:highlight w:val="yellow"/>
          <w:u w:val="single"/>
        </w:rPr>
        <w:t xml:space="preserve">including </w:t>
      </w:r>
      <w:r w:rsidR="004334EE" w:rsidRPr="004334EE">
        <w:rPr>
          <w:rFonts w:eastAsia="Calibri"/>
          <w:color w:val="auto"/>
          <w:szCs w:val="24"/>
          <w:highlight w:val="yellow"/>
          <w:u w:val="single"/>
        </w:rPr>
        <w:t>information</w:t>
      </w:r>
      <w:r w:rsidR="004334EE" w:rsidRPr="004334EE">
        <w:rPr>
          <w:rFonts w:eastAsia="Calibri"/>
          <w:color w:val="auto"/>
          <w:szCs w:val="24"/>
        </w:rPr>
        <w:t xml:space="preserve"> identif</w:t>
      </w:r>
      <w:r w:rsidR="00822121">
        <w:rPr>
          <w:rFonts w:eastAsia="Calibri"/>
          <w:color w:val="auto"/>
          <w:szCs w:val="24"/>
        </w:rPr>
        <w:t>y</w:t>
      </w:r>
      <w:r w:rsidR="004334EE" w:rsidRPr="004334EE">
        <w:rPr>
          <w:rFonts w:eastAsia="Calibri"/>
          <w:color w:val="auto"/>
          <w:szCs w:val="24"/>
          <w:highlight w:val="yellow"/>
          <w:u w:val="single"/>
        </w:rPr>
        <w:t>ing</w:t>
      </w:r>
      <w:r w:rsidR="004334EE" w:rsidRPr="004334EE">
        <w:rPr>
          <w:rFonts w:eastAsia="Calibri"/>
          <w:color w:val="auto"/>
          <w:szCs w:val="24"/>
        </w:rPr>
        <w:t xml:space="preserve"> both the employee and the provider, </w:t>
      </w:r>
      <w:r w:rsidR="004334EE" w:rsidRPr="004334EE">
        <w:rPr>
          <w:rFonts w:eastAsia="Calibri"/>
          <w:strike/>
          <w:color w:val="auto"/>
          <w:szCs w:val="24"/>
          <w:highlight w:val="yellow"/>
        </w:rPr>
        <w:t>and</w:t>
      </w:r>
      <w:r w:rsidR="004334EE" w:rsidRPr="004334EE">
        <w:rPr>
          <w:rFonts w:eastAsia="Calibri"/>
          <w:color w:val="auto"/>
          <w:szCs w:val="24"/>
        </w:rPr>
        <w:t xml:space="preserve"> identif</w:t>
      </w:r>
      <w:r w:rsidR="00822121">
        <w:rPr>
          <w:rFonts w:eastAsia="Calibri"/>
          <w:color w:val="auto"/>
          <w:szCs w:val="24"/>
        </w:rPr>
        <w:t>y</w:t>
      </w:r>
      <w:r w:rsidR="004334EE" w:rsidRPr="004334EE">
        <w:rPr>
          <w:rFonts w:eastAsia="Calibri"/>
          <w:color w:val="auto"/>
          <w:szCs w:val="24"/>
          <w:highlight w:val="yellow"/>
          <w:u w:val="single"/>
        </w:rPr>
        <w:t>ing</w:t>
      </w:r>
      <w:r w:rsidR="004334EE" w:rsidRPr="004334EE">
        <w:rPr>
          <w:rFonts w:eastAsia="Calibri"/>
          <w:color w:val="auto"/>
          <w:szCs w:val="24"/>
        </w:rPr>
        <w:t xml:space="preserve"> with specificity a recommended treatment or treatments</w:t>
      </w:r>
      <w:r w:rsidR="004334EE" w:rsidRPr="004334EE">
        <w:rPr>
          <w:rFonts w:eastAsia="Calibri"/>
          <w:color w:val="auto"/>
          <w:szCs w:val="24"/>
          <w:highlight w:val="yellow"/>
          <w:u w:val="single"/>
        </w:rPr>
        <w:t>, and</w:t>
      </w:r>
      <w:r w:rsidR="004334EE" w:rsidRPr="004334EE">
        <w:rPr>
          <w:rFonts w:eastAsia="Calibri"/>
          <w:color w:val="auto"/>
          <w:szCs w:val="24"/>
          <w:u w:val="single"/>
        </w:rPr>
        <w:t xml:space="preserve"> </w:t>
      </w:r>
      <w:r w:rsidR="004334EE" w:rsidRPr="004334EE">
        <w:rPr>
          <w:szCs w:val="24"/>
          <w:highlight w:val="yellow"/>
          <w:u w:val="single"/>
        </w:rPr>
        <w:t>substantiating the need for the requested treatment</w:t>
      </w:r>
      <w:r w:rsidR="004334EE" w:rsidRPr="004334EE">
        <w:rPr>
          <w:rFonts w:eastAsia="Calibri"/>
          <w:color w:val="auto"/>
          <w:szCs w:val="24"/>
        </w:rPr>
        <w:t xml:space="preserve">. </w:t>
      </w:r>
    </w:p>
    <w:p w:rsidR="004334EE" w:rsidRPr="004334EE" w:rsidRDefault="004334EE" w:rsidP="004334EE">
      <w:pPr>
        <w:rPr>
          <w:rFonts w:eastAsia="Calibri"/>
          <w:color w:val="auto"/>
          <w:szCs w:val="24"/>
          <w:u w:val="single"/>
        </w:rPr>
      </w:pPr>
    </w:p>
    <w:p w:rsidR="004334EE" w:rsidRPr="004334EE" w:rsidRDefault="00377E5A" w:rsidP="004334EE">
      <w:pPr>
        <w:ind w:left="720"/>
        <w:rPr>
          <w:rFonts w:eastAsia="Calibri"/>
          <w:i/>
          <w:color w:val="auto"/>
          <w:szCs w:val="24"/>
        </w:rPr>
      </w:pPr>
      <w:r>
        <w:rPr>
          <w:rFonts w:eastAsia="Calibri"/>
          <w:i/>
          <w:color w:val="auto"/>
          <w:szCs w:val="24"/>
        </w:rPr>
        <w:t xml:space="preserve">In order to respond to requests and validate the need for treatment within the required timeframe, it is vital that the treating physician complete all applicable fields on the form so that the administrator can quickly confirm that it is a request for </w:t>
      </w:r>
      <w:r w:rsidR="00A637B2">
        <w:rPr>
          <w:rFonts w:eastAsia="Calibri"/>
          <w:i/>
          <w:color w:val="auto"/>
          <w:szCs w:val="24"/>
        </w:rPr>
        <w:t xml:space="preserve">authorization of </w:t>
      </w:r>
      <w:r>
        <w:rPr>
          <w:rFonts w:eastAsia="Calibri"/>
          <w:i/>
          <w:color w:val="auto"/>
          <w:szCs w:val="24"/>
        </w:rPr>
        <w:t xml:space="preserve">treatment; </w:t>
      </w:r>
      <w:r w:rsidR="00A637B2">
        <w:rPr>
          <w:rFonts w:eastAsia="Calibri"/>
          <w:i/>
          <w:color w:val="auto"/>
          <w:szCs w:val="24"/>
        </w:rPr>
        <w:t>identify the claim as well as the specific treatment that is being requested; and contact the treater with a response or if clarification or additional information is needed</w:t>
      </w:r>
      <w:r w:rsidR="004334EE" w:rsidRPr="004334EE">
        <w:rPr>
          <w:rFonts w:eastAsia="Calibri"/>
          <w:i/>
          <w:color w:val="auto"/>
          <w:szCs w:val="24"/>
        </w:rPr>
        <w:t>.</w:t>
      </w:r>
    </w:p>
    <w:p w:rsidR="004334EE" w:rsidRPr="004334EE" w:rsidRDefault="004334EE" w:rsidP="004334EE">
      <w:pPr>
        <w:rPr>
          <w:rFonts w:eastAsia="Calibri"/>
          <w:color w:val="auto"/>
          <w:szCs w:val="24"/>
          <w:u w:val="single"/>
        </w:rPr>
      </w:pPr>
    </w:p>
    <w:p w:rsidR="004334EE" w:rsidRPr="004334EE" w:rsidRDefault="000636AB" w:rsidP="004334EE">
      <w:pPr>
        <w:rPr>
          <w:rFonts w:eastAsia="Calibri"/>
          <w:color w:val="auto"/>
          <w:szCs w:val="24"/>
        </w:rPr>
      </w:pPr>
      <w:r>
        <w:rPr>
          <w:rFonts w:eastAsia="Calibri"/>
          <w:color w:val="auto"/>
          <w:szCs w:val="24"/>
        </w:rPr>
        <w:t>(t)(3)</w:t>
      </w:r>
      <w:r w:rsidR="004334EE" w:rsidRPr="004334EE">
        <w:rPr>
          <w:rFonts w:eastAsia="Calibri"/>
          <w:color w:val="auto"/>
          <w:szCs w:val="24"/>
        </w:rPr>
        <w:t xml:space="preserve"> The request for authorization must be signed by the treating physician and </w:t>
      </w:r>
      <w:r w:rsidR="004334EE" w:rsidRPr="004334EE">
        <w:rPr>
          <w:rFonts w:eastAsia="Calibri"/>
          <w:strike/>
          <w:color w:val="auto"/>
          <w:szCs w:val="24"/>
          <w:highlight w:val="yellow"/>
        </w:rPr>
        <w:t>may be</w:t>
      </w:r>
      <w:r w:rsidR="004334EE" w:rsidRPr="004334EE">
        <w:rPr>
          <w:rFonts w:eastAsia="Calibri"/>
          <w:color w:val="auto"/>
          <w:szCs w:val="24"/>
        </w:rPr>
        <w:t xml:space="preserve"> mailed, faxed or e-mailed</w:t>
      </w:r>
      <w:r w:rsidR="004334EE" w:rsidRPr="004334EE">
        <w:rPr>
          <w:rFonts w:eastAsia="Calibri"/>
          <w:color w:val="auto"/>
          <w:szCs w:val="24"/>
          <w:u w:val="single"/>
        </w:rPr>
        <w:t xml:space="preserve"> </w:t>
      </w:r>
      <w:r w:rsidR="004334EE" w:rsidRPr="004334EE">
        <w:rPr>
          <w:rFonts w:eastAsia="Calibri"/>
          <w:color w:val="auto"/>
          <w:szCs w:val="24"/>
          <w:highlight w:val="yellow"/>
          <w:u w:val="single"/>
        </w:rPr>
        <w:t xml:space="preserve">to the </w:t>
      </w:r>
      <w:r w:rsidR="00541CB4" w:rsidRPr="004334EE">
        <w:rPr>
          <w:rFonts w:eastAsia="Calibri"/>
          <w:color w:val="auto"/>
          <w:szCs w:val="24"/>
          <w:highlight w:val="yellow"/>
          <w:u w:val="single"/>
        </w:rPr>
        <w:t xml:space="preserve">designated mailing </w:t>
      </w:r>
      <w:r w:rsidR="00541CB4">
        <w:rPr>
          <w:rFonts w:eastAsia="Calibri"/>
          <w:color w:val="auto"/>
          <w:szCs w:val="24"/>
          <w:highlight w:val="yellow"/>
          <w:u w:val="single"/>
        </w:rPr>
        <w:t xml:space="preserve">address, </w:t>
      </w:r>
      <w:r w:rsidR="004334EE" w:rsidRPr="004334EE">
        <w:rPr>
          <w:rFonts w:eastAsia="Calibri"/>
          <w:color w:val="auto"/>
          <w:szCs w:val="24"/>
          <w:highlight w:val="yellow"/>
          <w:u w:val="single"/>
        </w:rPr>
        <w:t>fax number</w:t>
      </w:r>
      <w:r w:rsidR="00541CB4">
        <w:rPr>
          <w:rFonts w:eastAsia="Calibri"/>
          <w:color w:val="auto"/>
          <w:szCs w:val="24"/>
          <w:highlight w:val="yellow"/>
          <w:u w:val="single"/>
        </w:rPr>
        <w:t>,</w:t>
      </w:r>
      <w:r w:rsidR="004334EE" w:rsidRPr="004334EE">
        <w:rPr>
          <w:rFonts w:eastAsia="Calibri"/>
          <w:color w:val="auto"/>
          <w:szCs w:val="24"/>
          <w:highlight w:val="yellow"/>
          <w:u w:val="single"/>
        </w:rPr>
        <w:t xml:space="preserve"> or email address</w:t>
      </w:r>
      <w:r w:rsidR="004334EE" w:rsidRPr="004334EE">
        <w:rPr>
          <w:rFonts w:eastAsia="Calibri"/>
          <w:color w:val="auto"/>
          <w:szCs w:val="24"/>
        </w:rPr>
        <w:t xml:space="preserve">. By agreement of the parties, the </w:t>
      </w:r>
      <w:r w:rsidR="004334EE" w:rsidRPr="004334EE">
        <w:rPr>
          <w:rFonts w:eastAsia="Calibri"/>
          <w:strike/>
          <w:color w:val="auto"/>
          <w:szCs w:val="24"/>
          <w:highlight w:val="yellow"/>
        </w:rPr>
        <w:t>treatment</w:t>
      </w:r>
      <w:r w:rsidR="004334EE" w:rsidRPr="004334EE">
        <w:rPr>
          <w:rFonts w:eastAsia="Calibri"/>
          <w:color w:val="auto"/>
          <w:szCs w:val="24"/>
          <w:highlight w:val="yellow"/>
        </w:rPr>
        <w:t xml:space="preserve"> </w:t>
      </w:r>
      <w:r w:rsidR="004334EE" w:rsidRPr="004334EE">
        <w:rPr>
          <w:rFonts w:eastAsia="Calibri"/>
          <w:color w:val="auto"/>
          <w:szCs w:val="24"/>
          <w:highlight w:val="yellow"/>
          <w:u w:val="single"/>
        </w:rPr>
        <w:t>treating</w:t>
      </w:r>
      <w:r w:rsidR="004334EE" w:rsidRPr="004334EE">
        <w:rPr>
          <w:rFonts w:eastAsia="Calibri"/>
          <w:color w:val="auto"/>
          <w:szCs w:val="24"/>
          <w:u w:val="single"/>
        </w:rPr>
        <w:t xml:space="preserve"> </w:t>
      </w:r>
      <w:r w:rsidR="004334EE" w:rsidRPr="004334EE">
        <w:rPr>
          <w:rFonts w:eastAsia="Calibri"/>
          <w:color w:val="auto"/>
          <w:szCs w:val="24"/>
        </w:rPr>
        <w:t xml:space="preserve">physician may submit the request for authorization with an electronic signature. </w:t>
      </w:r>
    </w:p>
    <w:p w:rsidR="00541CB4" w:rsidRDefault="00541CB4" w:rsidP="004334EE">
      <w:pPr>
        <w:ind w:left="720"/>
        <w:rPr>
          <w:rFonts w:eastAsia="Calibri"/>
          <w:i/>
          <w:color w:val="auto"/>
          <w:szCs w:val="24"/>
        </w:rPr>
      </w:pPr>
    </w:p>
    <w:p w:rsidR="004334EE" w:rsidRPr="004334EE" w:rsidRDefault="000B39C0" w:rsidP="004334EE">
      <w:pPr>
        <w:ind w:left="720"/>
        <w:rPr>
          <w:rFonts w:eastAsia="Calibri"/>
          <w:i/>
          <w:color w:val="auto"/>
          <w:szCs w:val="24"/>
        </w:rPr>
      </w:pPr>
      <w:r>
        <w:rPr>
          <w:rFonts w:eastAsia="Calibri"/>
          <w:i/>
          <w:color w:val="auto"/>
          <w:szCs w:val="24"/>
        </w:rPr>
        <w:t>The first recommended modification will ensure the request for authorization is submitted to the proper recipient</w:t>
      </w:r>
      <w:r w:rsidR="004334EE" w:rsidRPr="004334EE">
        <w:rPr>
          <w:rFonts w:eastAsia="Calibri"/>
          <w:i/>
          <w:color w:val="auto"/>
          <w:szCs w:val="24"/>
        </w:rPr>
        <w:t>.</w:t>
      </w:r>
      <w:r w:rsidR="004334EE" w:rsidRPr="004334EE">
        <w:rPr>
          <w:rFonts w:eastAsia="Calibri"/>
          <w:color w:val="auto"/>
          <w:szCs w:val="24"/>
        </w:rPr>
        <w:t xml:space="preserve"> </w:t>
      </w:r>
      <w:r>
        <w:rPr>
          <w:rFonts w:eastAsia="Calibri"/>
          <w:i/>
          <w:color w:val="auto"/>
          <w:szCs w:val="24"/>
        </w:rPr>
        <w:t>If it is not, the short timeframes may not be met</w:t>
      </w:r>
      <w:r w:rsidR="00F20052">
        <w:rPr>
          <w:rFonts w:eastAsia="Calibri"/>
          <w:i/>
          <w:color w:val="auto"/>
          <w:szCs w:val="24"/>
        </w:rPr>
        <w:t>,</w:t>
      </w:r>
      <w:r>
        <w:rPr>
          <w:rFonts w:eastAsia="Calibri"/>
          <w:i/>
          <w:color w:val="auto"/>
          <w:szCs w:val="24"/>
        </w:rPr>
        <w:t xml:space="preserve"> </w:t>
      </w:r>
      <w:r w:rsidR="00F20052">
        <w:rPr>
          <w:rFonts w:eastAsia="Calibri"/>
          <w:i/>
          <w:color w:val="auto"/>
          <w:szCs w:val="24"/>
        </w:rPr>
        <w:t xml:space="preserve">causing </w:t>
      </w:r>
      <w:r>
        <w:rPr>
          <w:rFonts w:eastAsia="Calibri"/>
          <w:i/>
          <w:color w:val="auto"/>
          <w:szCs w:val="24"/>
        </w:rPr>
        <w:t xml:space="preserve">the injured employee’s treatment </w:t>
      </w:r>
      <w:r w:rsidR="00F20052">
        <w:rPr>
          <w:rFonts w:eastAsia="Calibri"/>
          <w:i/>
          <w:color w:val="auto"/>
          <w:szCs w:val="24"/>
        </w:rPr>
        <w:t>to</w:t>
      </w:r>
      <w:r>
        <w:rPr>
          <w:rFonts w:eastAsia="Calibri"/>
          <w:i/>
          <w:color w:val="auto"/>
          <w:szCs w:val="24"/>
        </w:rPr>
        <w:t xml:space="preserve"> be delayed</w:t>
      </w:r>
      <w:r w:rsidR="00F20052">
        <w:rPr>
          <w:rFonts w:eastAsia="Calibri"/>
          <w:i/>
          <w:color w:val="auto"/>
          <w:szCs w:val="24"/>
        </w:rPr>
        <w:t xml:space="preserve">, and </w:t>
      </w:r>
      <w:r w:rsidR="00A637B2">
        <w:rPr>
          <w:rFonts w:eastAsia="Calibri"/>
          <w:i/>
          <w:color w:val="auto"/>
          <w:szCs w:val="24"/>
        </w:rPr>
        <w:t xml:space="preserve">the triggering of </w:t>
      </w:r>
      <w:r w:rsidR="00F20052">
        <w:rPr>
          <w:rFonts w:eastAsia="Calibri"/>
          <w:i/>
          <w:color w:val="auto"/>
          <w:szCs w:val="24"/>
        </w:rPr>
        <w:t>penalties.</w:t>
      </w:r>
    </w:p>
    <w:p w:rsidR="004334EE" w:rsidRPr="004334EE" w:rsidRDefault="004334EE" w:rsidP="004334EE">
      <w:pPr>
        <w:rPr>
          <w:rFonts w:eastAsia="Calibri"/>
          <w:color w:val="auto"/>
          <w:szCs w:val="24"/>
          <w:u w:val="single"/>
        </w:rPr>
      </w:pPr>
    </w:p>
    <w:p w:rsidR="004334EE" w:rsidRPr="004334EE" w:rsidRDefault="004334EE" w:rsidP="004334EE">
      <w:pPr>
        <w:rPr>
          <w:rFonts w:eastAsia="Calibri"/>
          <w:szCs w:val="24"/>
          <w:shd w:val="clear" w:color="auto" w:fill="FFFFFF"/>
        </w:rPr>
      </w:pPr>
      <w:r w:rsidRPr="004334EE">
        <w:rPr>
          <w:rFonts w:eastAsia="Calibri"/>
          <w:szCs w:val="24"/>
          <w:shd w:val="clear" w:color="auto" w:fill="FFFFFF"/>
        </w:rPr>
        <w:t xml:space="preserve">(w) “Utilization review decision” means a decision pursuant to Labor Code section 4610 to approve, modify, delay, or deny a treatment recommendation or recommendations </w:t>
      </w:r>
      <w:r w:rsidRPr="004334EE">
        <w:rPr>
          <w:rFonts w:eastAsia="Calibri"/>
          <w:szCs w:val="24"/>
          <w:highlight w:val="yellow"/>
          <w:u w:val="single"/>
          <w:shd w:val="clear" w:color="auto" w:fill="FFFFFF"/>
        </w:rPr>
        <w:t>pursuant to a request for authorization submitted</w:t>
      </w:r>
      <w:r w:rsidRPr="004334EE">
        <w:rPr>
          <w:rFonts w:eastAsia="Calibri"/>
          <w:szCs w:val="24"/>
          <w:u w:val="single"/>
          <w:shd w:val="clear" w:color="auto" w:fill="FFFFFF"/>
        </w:rPr>
        <w:t xml:space="preserve"> </w:t>
      </w:r>
      <w:r w:rsidRPr="004334EE">
        <w:rPr>
          <w:rFonts w:eastAsia="Calibri"/>
          <w:szCs w:val="24"/>
          <w:shd w:val="clear" w:color="auto" w:fill="FFFFFF"/>
        </w:rPr>
        <w:t>by a physician prior to, retrospectively, or concurrent with the provision of medical treatment services pursuant to Labor Code sections 4600 or 5402(c).</w:t>
      </w:r>
    </w:p>
    <w:p w:rsidR="004334EE" w:rsidRPr="004334EE" w:rsidRDefault="004334EE" w:rsidP="004334EE">
      <w:pPr>
        <w:rPr>
          <w:rFonts w:eastAsia="Calibri"/>
          <w:color w:val="auto"/>
          <w:szCs w:val="24"/>
        </w:rPr>
      </w:pPr>
    </w:p>
    <w:p w:rsidR="004334EE" w:rsidRPr="004334EE" w:rsidRDefault="00F346E7" w:rsidP="004334EE">
      <w:pPr>
        <w:ind w:left="720"/>
        <w:rPr>
          <w:rFonts w:eastAsia="Calibri"/>
          <w:i/>
          <w:color w:val="auto"/>
          <w:szCs w:val="24"/>
        </w:rPr>
      </w:pPr>
      <w:r>
        <w:rPr>
          <w:rFonts w:eastAsia="Calibri"/>
          <w:i/>
          <w:color w:val="auto"/>
          <w:szCs w:val="24"/>
        </w:rPr>
        <w:t>Clarification is needed that a utilization review decision follows a request for authorization</w:t>
      </w:r>
      <w:r w:rsidR="004334EE" w:rsidRPr="004334EE">
        <w:rPr>
          <w:rFonts w:eastAsia="Calibri"/>
          <w:i/>
          <w:color w:val="auto"/>
          <w:szCs w:val="24"/>
        </w:rPr>
        <w:t>.</w:t>
      </w:r>
    </w:p>
    <w:p w:rsidR="0029521E" w:rsidRPr="0029521E" w:rsidRDefault="0029521E" w:rsidP="0029521E">
      <w:pPr>
        <w:rPr>
          <w:rFonts w:eastAsia="Calibri"/>
          <w:color w:val="auto"/>
          <w:szCs w:val="24"/>
        </w:rPr>
      </w:pPr>
    </w:p>
    <w:p w:rsidR="0029521E" w:rsidRPr="0029521E" w:rsidRDefault="0029521E" w:rsidP="0029521E">
      <w:pPr>
        <w:rPr>
          <w:szCs w:val="24"/>
        </w:rPr>
      </w:pPr>
    </w:p>
    <w:p w:rsidR="0029521E" w:rsidRPr="0029521E" w:rsidRDefault="0029521E" w:rsidP="0029521E">
      <w:pPr>
        <w:rPr>
          <w:rFonts w:eastAsia="Calibri"/>
          <w:color w:val="auto"/>
          <w:szCs w:val="24"/>
        </w:rPr>
      </w:pPr>
      <w:r w:rsidRPr="009100AF">
        <w:rPr>
          <w:rFonts w:eastAsia="Calibri"/>
          <w:b/>
          <w:color w:val="auto"/>
          <w:szCs w:val="24"/>
        </w:rPr>
        <w:lastRenderedPageBreak/>
        <w:t>§9792.9.1. Utilization Review Standards--Timeframe, Procedures and Notice – For Injuries Occurring On or After January 1, 2013.</w:t>
      </w:r>
      <w:r w:rsidRPr="0029521E">
        <w:rPr>
          <w:rFonts w:eastAsia="Calibri"/>
          <w:b/>
          <w:color w:val="auto"/>
          <w:szCs w:val="24"/>
        </w:rPr>
        <w:t xml:space="preserve"> </w:t>
      </w:r>
      <w:r w:rsidRPr="0029521E">
        <w:rPr>
          <w:rFonts w:eastAsia="Calibri"/>
          <w:b/>
          <w:color w:val="auto"/>
          <w:szCs w:val="24"/>
        </w:rPr>
        <w:br/>
      </w:r>
    </w:p>
    <w:p w:rsidR="00E94741" w:rsidRDefault="00E94741" w:rsidP="003B689C">
      <w:pPr>
        <w:rPr>
          <w:rFonts w:eastAsia="Calibri"/>
          <w:color w:val="auto"/>
          <w:szCs w:val="24"/>
        </w:rPr>
      </w:pPr>
      <w:r>
        <w:rPr>
          <w:rFonts w:eastAsia="Calibri"/>
          <w:color w:val="auto"/>
          <w:szCs w:val="24"/>
        </w:rPr>
        <w:t xml:space="preserve">(c) Unless an extension is requested under subdivision (f), the </w:t>
      </w:r>
      <w:r w:rsidR="00295F4A">
        <w:rPr>
          <w:rFonts w:eastAsia="Calibri"/>
          <w:color w:val="auto"/>
          <w:szCs w:val="24"/>
        </w:rPr>
        <w:t>utilization review process shall meet the following time requirements:</w:t>
      </w:r>
    </w:p>
    <w:p w:rsidR="00E94741" w:rsidRPr="00295F4A" w:rsidRDefault="00E94741" w:rsidP="003B689C">
      <w:pPr>
        <w:rPr>
          <w:rFonts w:eastAsia="Calibri"/>
          <w:color w:val="auto"/>
          <w:sz w:val="16"/>
          <w:szCs w:val="24"/>
        </w:rPr>
      </w:pPr>
    </w:p>
    <w:p w:rsidR="003B689C" w:rsidRPr="003B689C" w:rsidRDefault="003B689C" w:rsidP="00295F4A">
      <w:pPr>
        <w:ind w:left="360"/>
        <w:rPr>
          <w:rFonts w:eastAsia="Calibri"/>
          <w:color w:val="auto"/>
          <w:szCs w:val="24"/>
          <w:u w:val="single"/>
        </w:rPr>
      </w:pPr>
      <w:r w:rsidRPr="003B689C">
        <w:rPr>
          <w:rFonts w:eastAsia="Calibri"/>
          <w:color w:val="auto"/>
          <w:szCs w:val="24"/>
        </w:rPr>
        <w:t>(2</w:t>
      </w:r>
      <w:r w:rsidRPr="00295F4A">
        <w:rPr>
          <w:rFonts w:eastAsia="Calibri"/>
          <w:color w:val="auto"/>
          <w:szCs w:val="24"/>
        </w:rPr>
        <w:t>)</w:t>
      </w:r>
      <w:r w:rsidR="00295F4A">
        <w:rPr>
          <w:rFonts w:eastAsia="Calibri"/>
          <w:color w:val="auto"/>
          <w:szCs w:val="24"/>
        </w:rPr>
        <w:t xml:space="preserve"> </w:t>
      </w:r>
      <w:r w:rsidRPr="003B689C">
        <w:rPr>
          <w:rFonts w:eastAsia="Calibri"/>
          <w:color w:val="auto"/>
          <w:szCs w:val="24"/>
          <w:highlight w:val="yellow"/>
          <w:u w:val="single"/>
        </w:rPr>
        <w:t>Unless the treating physician fails to utilize the DWC Form RFA,</w:t>
      </w:r>
      <w:r w:rsidR="00295F4A">
        <w:rPr>
          <w:rFonts w:eastAsia="Calibri"/>
          <w:color w:val="auto"/>
          <w:szCs w:val="24"/>
          <w:highlight w:val="yellow"/>
          <w:u w:val="single"/>
        </w:rPr>
        <w:t xml:space="preserve"> </w:t>
      </w:r>
      <w:r w:rsidR="00295F4A" w:rsidRPr="00302C9D">
        <w:rPr>
          <w:rFonts w:eastAsia="Calibri"/>
          <w:color w:val="auto"/>
          <w:szCs w:val="24"/>
          <w:highlight w:val="yellow"/>
          <w:u w:val="single"/>
        </w:rPr>
        <w:t>or</w:t>
      </w:r>
      <w:r w:rsidRPr="00302C9D">
        <w:rPr>
          <w:rFonts w:eastAsia="Calibri"/>
          <w:color w:val="auto"/>
          <w:szCs w:val="24"/>
          <w:highlight w:val="yellow"/>
          <w:u w:val="single"/>
        </w:rPr>
        <w:t xml:space="preserve"> </w:t>
      </w:r>
      <w:r w:rsidRPr="00302C9D">
        <w:rPr>
          <w:rFonts w:eastAsia="Calibri"/>
          <w:strike/>
          <w:color w:val="auto"/>
          <w:szCs w:val="24"/>
          <w:highlight w:val="yellow"/>
        </w:rPr>
        <w:t>If</w:t>
      </w:r>
      <w:r w:rsidR="00860C5D" w:rsidRPr="00302C9D">
        <w:rPr>
          <w:rFonts w:eastAsia="Calibri"/>
          <w:strike/>
          <w:color w:val="auto"/>
          <w:szCs w:val="24"/>
          <w:highlight w:val="yellow"/>
        </w:rPr>
        <w:t xml:space="preserve"> the treating physician requests a course of treatment</w:t>
      </w:r>
      <w:r w:rsidR="00893701" w:rsidRPr="00302C9D">
        <w:rPr>
          <w:rFonts w:eastAsia="Calibri"/>
          <w:strike/>
          <w:color w:val="auto"/>
          <w:szCs w:val="24"/>
          <w:highlight w:val="yellow"/>
        </w:rPr>
        <w:t xml:space="preserve"> in a manner that does not </w:t>
      </w:r>
      <w:r w:rsidR="00302C9D" w:rsidRPr="00302C9D">
        <w:rPr>
          <w:rFonts w:eastAsia="Calibri"/>
          <w:strike/>
          <w:color w:val="auto"/>
          <w:szCs w:val="24"/>
          <w:highlight w:val="yellow"/>
        </w:rPr>
        <w:t>utilize the DWC Form RFA, or if</w:t>
      </w:r>
      <w:r w:rsidRPr="003B689C">
        <w:rPr>
          <w:rFonts w:eastAsia="Calibri"/>
          <w:b/>
          <w:color w:val="auto"/>
          <w:szCs w:val="24"/>
        </w:rPr>
        <w:t xml:space="preserve"> </w:t>
      </w:r>
      <w:r w:rsidRPr="003B689C">
        <w:rPr>
          <w:rFonts w:eastAsia="Calibri"/>
          <w:color w:val="auto"/>
          <w:szCs w:val="24"/>
        </w:rPr>
        <w:t xml:space="preserve">the DWC Form RFA does not identify the employee or provider, does not identify a recommended treatment, or is not signed by the </w:t>
      </w:r>
      <w:r w:rsidRPr="003B689C">
        <w:rPr>
          <w:rFonts w:eastAsia="Calibri"/>
          <w:strike/>
          <w:color w:val="auto"/>
          <w:szCs w:val="24"/>
          <w:highlight w:val="yellow"/>
        </w:rPr>
        <w:t>requesting</w:t>
      </w:r>
      <w:r w:rsidRPr="003B689C">
        <w:rPr>
          <w:rFonts w:eastAsia="Calibri"/>
          <w:color w:val="auto"/>
          <w:szCs w:val="24"/>
          <w:highlight w:val="yellow"/>
        </w:rPr>
        <w:t xml:space="preserve"> </w:t>
      </w:r>
      <w:r w:rsidRPr="003B689C">
        <w:rPr>
          <w:rFonts w:eastAsia="Calibri"/>
          <w:color w:val="auto"/>
          <w:szCs w:val="24"/>
          <w:highlight w:val="yellow"/>
          <w:u w:val="single"/>
        </w:rPr>
        <w:t>treating</w:t>
      </w:r>
      <w:r w:rsidRPr="003B689C">
        <w:rPr>
          <w:rFonts w:eastAsia="Calibri"/>
          <w:color w:val="auto"/>
          <w:szCs w:val="24"/>
        </w:rPr>
        <w:t xml:space="preserve"> physician, a non-physician reviewer as allowed by section 9792.7 or reviewer must either</w:t>
      </w:r>
      <w:r w:rsidRPr="003B689C">
        <w:rPr>
          <w:rFonts w:eastAsia="Calibri"/>
          <w:color w:val="auto"/>
          <w:szCs w:val="24"/>
          <w:u w:val="single"/>
        </w:rPr>
        <w:t xml:space="preserve"> </w:t>
      </w:r>
      <w:r>
        <w:rPr>
          <w:rFonts w:eastAsia="Calibri"/>
          <w:color w:val="auto"/>
          <w:szCs w:val="24"/>
          <w:highlight w:val="yellow"/>
          <w:u w:val="single"/>
        </w:rPr>
        <w:t>respond to</w:t>
      </w:r>
      <w:r w:rsidRPr="003B689C">
        <w:rPr>
          <w:rFonts w:eastAsia="Calibri"/>
          <w:color w:val="auto"/>
          <w:szCs w:val="24"/>
          <w:highlight w:val="yellow"/>
          <w:u w:val="single"/>
        </w:rPr>
        <w:t xml:space="preserve"> </w:t>
      </w:r>
      <w:r w:rsidRPr="003B689C">
        <w:rPr>
          <w:rFonts w:eastAsia="Calibri"/>
          <w:strike/>
          <w:color w:val="auto"/>
          <w:szCs w:val="24"/>
          <w:highlight w:val="yellow"/>
        </w:rPr>
        <w:t>regard</w:t>
      </w:r>
      <w:r w:rsidRPr="003B689C">
        <w:rPr>
          <w:rFonts w:eastAsia="Calibri"/>
          <w:b/>
          <w:color w:val="auto"/>
          <w:szCs w:val="24"/>
          <w:highlight w:val="yellow"/>
        </w:rPr>
        <w:t xml:space="preserve"> </w:t>
      </w:r>
      <w:r w:rsidRPr="003B689C">
        <w:rPr>
          <w:rFonts w:eastAsia="Calibri"/>
          <w:color w:val="auto"/>
          <w:szCs w:val="24"/>
        </w:rPr>
        <w:t>the request</w:t>
      </w:r>
      <w:r w:rsidRPr="003B689C">
        <w:rPr>
          <w:rFonts w:eastAsia="Calibri"/>
          <w:b/>
          <w:color w:val="auto"/>
          <w:szCs w:val="24"/>
        </w:rPr>
        <w:t xml:space="preserve"> </w:t>
      </w:r>
      <w:r w:rsidRPr="003B689C">
        <w:rPr>
          <w:rFonts w:eastAsia="Calibri"/>
          <w:color w:val="auto"/>
          <w:szCs w:val="24"/>
        </w:rPr>
        <w:t xml:space="preserve">as </w:t>
      </w:r>
      <w:r w:rsidRPr="003B689C">
        <w:rPr>
          <w:rFonts w:eastAsia="Calibri"/>
          <w:color w:val="auto"/>
          <w:szCs w:val="24"/>
          <w:highlight w:val="yellow"/>
          <w:u w:val="single"/>
        </w:rPr>
        <w:t>though it were</w:t>
      </w:r>
      <w:r w:rsidRPr="003B689C">
        <w:rPr>
          <w:rFonts w:eastAsia="Calibri"/>
          <w:b/>
          <w:color w:val="auto"/>
          <w:szCs w:val="24"/>
          <w:highlight w:val="yellow"/>
          <w:u w:val="single"/>
        </w:rPr>
        <w:t xml:space="preserve"> </w:t>
      </w:r>
      <w:r w:rsidRPr="003B689C">
        <w:rPr>
          <w:rFonts w:eastAsia="Calibri"/>
          <w:color w:val="auto"/>
          <w:szCs w:val="24"/>
        </w:rPr>
        <w:t>a</w:t>
      </w:r>
      <w:r w:rsidRPr="003B689C">
        <w:rPr>
          <w:rFonts w:eastAsia="Calibri"/>
          <w:b/>
          <w:color w:val="auto"/>
          <w:szCs w:val="24"/>
        </w:rPr>
        <w:t xml:space="preserve"> </w:t>
      </w:r>
      <w:r w:rsidRPr="003B689C">
        <w:rPr>
          <w:rFonts w:eastAsia="Calibri"/>
          <w:color w:val="auto"/>
          <w:szCs w:val="24"/>
        </w:rPr>
        <w:t>complete DWC Form RFA</w:t>
      </w:r>
      <w:r w:rsidRPr="003B689C">
        <w:rPr>
          <w:rFonts w:eastAsia="Calibri"/>
          <w:b/>
          <w:color w:val="auto"/>
          <w:szCs w:val="24"/>
        </w:rPr>
        <w:t xml:space="preserve"> </w:t>
      </w:r>
      <w:r w:rsidRPr="003B689C">
        <w:rPr>
          <w:rFonts w:eastAsia="Calibri"/>
          <w:color w:val="auto"/>
          <w:szCs w:val="24"/>
        </w:rPr>
        <w:t>and comply with the timeframes for decision set forth in this section or return it to the requesting physician marked “not complete</w:t>
      </w:r>
      <w:r w:rsidRPr="003B689C">
        <w:rPr>
          <w:rFonts w:eastAsia="Calibri"/>
          <w:b/>
          <w:color w:val="auto"/>
          <w:szCs w:val="24"/>
        </w:rPr>
        <w:t>,</w:t>
      </w:r>
      <w:r w:rsidRPr="003B689C">
        <w:rPr>
          <w:rFonts w:eastAsia="Calibri"/>
          <w:color w:val="auto"/>
          <w:szCs w:val="24"/>
        </w:rPr>
        <w:t>” specifying the reasons for the return of the request</w:t>
      </w:r>
      <w:r w:rsidRPr="003B689C">
        <w:rPr>
          <w:rFonts w:eastAsia="Calibri"/>
          <w:b/>
          <w:color w:val="auto"/>
          <w:szCs w:val="24"/>
        </w:rPr>
        <w:t xml:space="preserve">, </w:t>
      </w:r>
      <w:r w:rsidRPr="003B689C">
        <w:rPr>
          <w:rFonts w:eastAsia="Calibri"/>
          <w:color w:val="auto"/>
          <w:szCs w:val="24"/>
        </w:rPr>
        <w:t>no later than</w:t>
      </w:r>
      <w:r w:rsidRPr="003B689C">
        <w:rPr>
          <w:rFonts w:eastAsia="Calibri"/>
          <w:color w:val="auto"/>
          <w:szCs w:val="24"/>
          <w:u w:val="single"/>
        </w:rPr>
        <w:t xml:space="preserve"> </w:t>
      </w:r>
      <w:r w:rsidRPr="003B689C">
        <w:rPr>
          <w:rFonts w:eastAsia="Calibri"/>
          <w:color w:val="auto"/>
          <w:szCs w:val="24"/>
          <w:highlight w:val="yellow"/>
          <w:u w:val="single"/>
        </w:rPr>
        <w:t xml:space="preserve">five (5) </w:t>
      </w:r>
      <w:r w:rsidRPr="003B689C">
        <w:rPr>
          <w:rFonts w:eastAsia="Calibri"/>
          <w:strike/>
          <w:color w:val="auto"/>
          <w:szCs w:val="24"/>
          <w:highlight w:val="yellow"/>
        </w:rPr>
        <w:t>three (3)</w:t>
      </w:r>
      <w:r w:rsidRPr="003B689C">
        <w:rPr>
          <w:rFonts w:eastAsia="Calibri"/>
          <w:b/>
          <w:color w:val="auto"/>
          <w:szCs w:val="24"/>
        </w:rPr>
        <w:t xml:space="preserve"> </w:t>
      </w:r>
      <w:r w:rsidRPr="003B689C">
        <w:rPr>
          <w:rFonts w:eastAsia="Calibri"/>
          <w:color w:val="auto"/>
          <w:szCs w:val="24"/>
        </w:rPr>
        <w:t>business days from receipt.  The timeframe for a decision on that returned request for authorization shall begin anew upon receipt of a completed DWC Form RFA.</w:t>
      </w:r>
    </w:p>
    <w:p w:rsidR="003B689C" w:rsidRPr="003B689C" w:rsidRDefault="003B689C" w:rsidP="003B689C">
      <w:pPr>
        <w:rPr>
          <w:rFonts w:eastAsia="Calibri"/>
          <w:color w:val="auto"/>
          <w:szCs w:val="24"/>
          <w:u w:val="single"/>
        </w:rPr>
      </w:pPr>
    </w:p>
    <w:p w:rsidR="003B689C" w:rsidRPr="003B689C" w:rsidRDefault="003B689C" w:rsidP="003B689C">
      <w:pPr>
        <w:ind w:left="720"/>
        <w:rPr>
          <w:rFonts w:eastAsia="Calibri"/>
          <w:i/>
          <w:color w:val="auto"/>
          <w:szCs w:val="24"/>
        </w:rPr>
      </w:pPr>
      <w:r w:rsidRPr="003B689C">
        <w:rPr>
          <w:rFonts w:eastAsia="Calibri"/>
          <w:i/>
          <w:color w:val="auto"/>
          <w:szCs w:val="24"/>
        </w:rPr>
        <w:t>The Institute points out that it is the responsibility of the treating physician to submit a complete request for authorization to ensure the provision of timely medical treatment to his or her patient.  At a minimum</w:t>
      </w:r>
      <w:r w:rsidR="00776F66">
        <w:rPr>
          <w:rFonts w:eastAsia="Calibri"/>
          <w:i/>
          <w:color w:val="auto"/>
          <w:szCs w:val="24"/>
        </w:rPr>
        <w:t>,</w:t>
      </w:r>
      <w:r w:rsidRPr="003B689C">
        <w:rPr>
          <w:rFonts w:eastAsia="Calibri"/>
          <w:i/>
          <w:color w:val="auto"/>
          <w:szCs w:val="24"/>
        </w:rPr>
        <w:t xml:space="preserve"> the physician must submit the request on the required form, identify the employee, provider and recommended treatment, and sign the form.  </w:t>
      </w:r>
      <w:r w:rsidR="002A7704">
        <w:rPr>
          <w:rFonts w:eastAsia="Calibri"/>
          <w:i/>
          <w:color w:val="auto"/>
          <w:szCs w:val="24"/>
        </w:rPr>
        <w:t xml:space="preserve">It will not be enough to supply the name of the employee because that will not be sufficient to identify the claim, -- especially </w:t>
      </w:r>
      <w:r w:rsidR="00EA369A">
        <w:rPr>
          <w:rFonts w:eastAsia="Calibri"/>
          <w:i/>
          <w:color w:val="auto"/>
          <w:szCs w:val="24"/>
        </w:rPr>
        <w:t xml:space="preserve">when the </w:t>
      </w:r>
      <w:r w:rsidR="002A7704">
        <w:rPr>
          <w:rFonts w:eastAsia="Calibri"/>
          <w:i/>
          <w:color w:val="auto"/>
          <w:szCs w:val="24"/>
        </w:rPr>
        <w:t>employee</w:t>
      </w:r>
      <w:r w:rsidR="00EA369A">
        <w:rPr>
          <w:rFonts w:eastAsia="Calibri"/>
          <w:i/>
          <w:color w:val="auto"/>
          <w:szCs w:val="24"/>
        </w:rPr>
        <w:t xml:space="preserve"> has a</w:t>
      </w:r>
      <w:r w:rsidR="002A7704">
        <w:rPr>
          <w:rFonts w:eastAsia="Calibri"/>
          <w:i/>
          <w:color w:val="auto"/>
          <w:szCs w:val="24"/>
        </w:rPr>
        <w:t xml:space="preserve"> common name.  </w:t>
      </w:r>
      <w:r w:rsidR="0015580C">
        <w:rPr>
          <w:rFonts w:eastAsia="Calibri"/>
          <w:i/>
          <w:color w:val="auto"/>
          <w:szCs w:val="24"/>
        </w:rPr>
        <w:t>As discussed in the introduction and in other comments, i</w:t>
      </w:r>
      <w:r w:rsidR="002D1FA4">
        <w:rPr>
          <w:rFonts w:eastAsia="Calibri"/>
          <w:i/>
          <w:color w:val="auto"/>
          <w:szCs w:val="24"/>
        </w:rPr>
        <w:t>f requests for authorization are not confined to a standard form they may not be identified within three or five working days, or at all because requests for authorization may be hidden in voluminous medical reports and other information</w:t>
      </w:r>
      <w:r w:rsidR="0015580C">
        <w:rPr>
          <w:rFonts w:eastAsia="Calibri"/>
          <w:i/>
          <w:color w:val="auto"/>
          <w:szCs w:val="24"/>
        </w:rPr>
        <w:t>.</w:t>
      </w:r>
      <w:r w:rsidR="002D1FA4">
        <w:rPr>
          <w:rFonts w:eastAsia="Calibri"/>
          <w:i/>
          <w:color w:val="auto"/>
          <w:szCs w:val="24"/>
        </w:rPr>
        <w:t xml:space="preserve"> </w:t>
      </w:r>
      <w:r w:rsidRPr="003B689C">
        <w:rPr>
          <w:rFonts w:eastAsia="Calibri"/>
          <w:i/>
          <w:color w:val="auto"/>
          <w:szCs w:val="24"/>
        </w:rPr>
        <w:t xml:space="preserve">Only if the physician meets these minimum requirements should any response be required within any mandated timeframe.  </w:t>
      </w:r>
    </w:p>
    <w:p w:rsidR="003B689C" w:rsidRPr="003B689C" w:rsidRDefault="003B689C" w:rsidP="003B689C">
      <w:pPr>
        <w:ind w:left="720"/>
        <w:rPr>
          <w:rFonts w:eastAsia="Calibri"/>
          <w:i/>
          <w:color w:val="auto"/>
          <w:szCs w:val="24"/>
        </w:rPr>
      </w:pPr>
    </w:p>
    <w:p w:rsidR="003B689C" w:rsidRPr="003B689C" w:rsidRDefault="003B689C" w:rsidP="003B689C">
      <w:pPr>
        <w:ind w:left="720"/>
        <w:rPr>
          <w:rFonts w:eastAsia="Calibri"/>
          <w:i/>
          <w:color w:val="auto"/>
          <w:szCs w:val="24"/>
        </w:rPr>
      </w:pPr>
      <w:r w:rsidRPr="003B689C">
        <w:rPr>
          <w:rFonts w:eastAsia="Calibri"/>
          <w:i/>
          <w:color w:val="auto"/>
          <w:szCs w:val="24"/>
        </w:rPr>
        <w:t>Responding to requests for authorization within five working days is a Herculean task.  Reducing that time to three working days to respond in writing to vague, incomplete and deficient requests with specific reasons for returning them is draconian, unrealistic and will be expensive.  Albeit unintended, th</w:t>
      </w:r>
      <w:r w:rsidR="00107E90">
        <w:rPr>
          <w:rFonts w:eastAsia="Calibri"/>
          <w:i/>
          <w:color w:val="auto"/>
          <w:szCs w:val="24"/>
        </w:rPr>
        <w:t>ese</w:t>
      </w:r>
      <w:r w:rsidRPr="003B689C">
        <w:rPr>
          <w:rFonts w:eastAsia="Calibri"/>
          <w:i/>
          <w:color w:val="auto"/>
          <w:szCs w:val="24"/>
        </w:rPr>
        <w:t xml:space="preserve"> requirement</w:t>
      </w:r>
      <w:r w:rsidR="00107E90">
        <w:rPr>
          <w:rFonts w:eastAsia="Calibri"/>
          <w:i/>
          <w:color w:val="auto"/>
          <w:szCs w:val="24"/>
        </w:rPr>
        <w:t>s</w:t>
      </w:r>
      <w:r w:rsidRPr="003B689C">
        <w:rPr>
          <w:rFonts w:eastAsia="Calibri"/>
          <w:i/>
          <w:color w:val="auto"/>
          <w:szCs w:val="24"/>
        </w:rPr>
        <w:t xml:space="preserve"> will result in non-compliant physicians further increasing the cost of utilization review and discouraging utilization review.  The Institute does not believe that the Administrative Director has statutory authority to apply or enforce a three-day response to deficient requests for authorization. </w:t>
      </w:r>
    </w:p>
    <w:p w:rsidR="0029521E" w:rsidRPr="0029521E" w:rsidRDefault="003B689C" w:rsidP="0029521E">
      <w:pPr>
        <w:ind w:left="720"/>
        <w:rPr>
          <w:rFonts w:eastAsia="Calibri"/>
          <w:i/>
          <w:color w:val="auto"/>
          <w:szCs w:val="24"/>
        </w:rPr>
      </w:pPr>
      <w:r w:rsidRPr="003B689C">
        <w:rPr>
          <w:rFonts w:eastAsia="Calibri"/>
          <w:i/>
          <w:color w:val="auto"/>
          <w:szCs w:val="24"/>
          <w:u w:val="single"/>
        </w:rPr>
        <w:t xml:space="preserve"> </w:t>
      </w:r>
    </w:p>
    <w:p w:rsidR="0014508C" w:rsidRPr="0014508C" w:rsidRDefault="0014508C" w:rsidP="0014508C">
      <w:pPr>
        <w:rPr>
          <w:rFonts w:eastAsia="Calibri"/>
          <w:color w:val="auto"/>
          <w:szCs w:val="24"/>
        </w:rPr>
      </w:pPr>
      <w:r>
        <w:rPr>
          <w:rFonts w:eastAsia="Calibri"/>
          <w:color w:val="auto"/>
          <w:szCs w:val="24"/>
        </w:rPr>
        <w:t>(d)(3)</w:t>
      </w:r>
      <w:r w:rsidRPr="0014508C">
        <w:rPr>
          <w:rFonts w:eastAsia="Calibri"/>
          <w:color w:val="auto"/>
          <w:szCs w:val="24"/>
        </w:rPr>
        <w:t>(B) Payment, or partial payment consistent with the provisions of California Code of Regulations, title 8, section 9792.5, of a medical bill for services requested on the DWC Form RFA, within the 30-day timeframe set forth in subdivision (c)(</w:t>
      </w:r>
      <w:r w:rsidRPr="0014508C">
        <w:rPr>
          <w:rFonts w:eastAsia="Calibri"/>
          <w:strike/>
          <w:color w:val="auto"/>
          <w:szCs w:val="24"/>
          <w:highlight w:val="yellow"/>
        </w:rPr>
        <w:t>4</w:t>
      </w:r>
      <w:r w:rsidRPr="0014508C">
        <w:rPr>
          <w:rFonts w:eastAsia="Calibri"/>
          <w:color w:val="auto"/>
          <w:szCs w:val="24"/>
          <w:highlight w:val="yellow"/>
          <w:u w:val="single"/>
        </w:rPr>
        <w:t>5</w:t>
      </w:r>
      <w:r w:rsidRPr="0014508C">
        <w:rPr>
          <w:rFonts w:eastAsia="Calibri"/>
          <w:color w:val="auto"/>
          <w:szCs w:val="24"/>
        </w:rPr>
        <w:t xml:space="preserve">), shall be deemed a retrospective approval, even if a portion of the medical bill for the requested services is contested, denied, or considered incomplete.  A document indicating that a payment has been made for the requested services, such as an explanation of review, may be provided to the injured employee who received the medical services, and his or her </w:t>
      </w:r>
      <w:r w:rsidRPr="0014508C">
        <w:rPr>
          <w:rFonts w:eastAsia="Calibri"/>
          <w:color w:val="auto"/>
          <w:szCs w:val="24"/>
        </w:rPr>
        <w:lastRenderedPageBreak/>
        <w:t>attorney/designee, if applicable, in lieu of a communication expressly acknowledging the retrospective approval.</w:t>
      </w:r>
    </w:p>
    <w:p w:rsidR="0014508C" w:rsidRPr="0014508C" w:rsidRDefault="0014508C" w:rsidP="0014508C">
      <w:pPr>
        <w:rPr>
          <w:rFonts w:eastAsia="Calibri"/>
          <w:color w:val="auto"/>
          <w:szCs w:val="24"/>
        </w:rPr>
      </w:pPr>
    </w:p>
    <w:p w:rsidR="0014508C" w:rsidRPr="0014508C" w:rsidRDefault="0014508C" w:rsidP="0014508C">
      <w:pPr>
        <w:ind w:left="720"/>
        <w:rPr>
          <w:rFonts w:eastAsia="Calibri"/>
          <w:i/>
          <w:color w:val="auto"/>
          <w:szCs w:val="24"/>
        </w:rPr>
      </w:pPr>
      <w:r w:rsidRPr="0014508C">
        <w:rPr>
          <w:rFonts w:eastAsia="Calibri"/>
          <w:i/>
          <w:color w:val="auto"/>
          <w:szCs w:val="24"/>
        </w:rPr>
        <w:t xml:space="preserve"> Subdivision (c)(4) was renumbered (c)(5).  </w:t>
      </w:r>
    </w:p>
    <w:p w:rsidR="0029521E" w:rsidRPr="0029521E" w:rsidRDefault="0029521E" w:rsidP="0029521E">
      <w:pPr>
        <w:ind w:left="720"/>
        <w:rPr>
          <w:rFonts w:eastAsia="Calibri"/>
          <w:i/>
          <w:color w:val="auto"/>
          <w:szCs w:val="24"/>
        </w:rPr>
      </w:pPr>
    </w:p>
    <w:p w:rsidR="0029521E" w:rsidRPr="0029521E" w:rsidRDefault="00081F19" w:rsidP="0029521E">
      <w:pPr>
        <w:rPr>
          <w:rFonts w:eastAsia="Calibri"/>
          <w:color w:val="auto"/>
          <w:szCs w:val="24"/>
        </w:rPr>
      </w:pPr>
      <w:r>
        <w:rPr>
          <w:rFonts w:eastAsia="Calibri"/>
          <w:color w:val="auto"/>
          <w:szCs w:val="24"/>
        </w:rPr>
        <w:t>(e)</w:t>
      </w:r>
      <w:r w:rsidR="0029521E" w:rsidRPr="0029521E">
        <w:rPr>
          <w:rFonts w:eastAsia="Calibri"/>
          <w:color w:val="auto"/>
          <w:szCs w:val="24"/>
        </w:rPr>
        <w:t xml:space="preserve">(4) </w:t>
      </w:r>
      <w:r w:rsidR="0029521E" w:rsidRPr="0029521E">
        <w:rPr>
          <w:rFonts w:eastAsia="Calibri"/>
          <w:color w:val="auto"/>
          <w:szCs w:val="24"/>
          <w:highlight w:val="yellow"/>
          <w:u w:val="single"/>
          <w:lang w:eastAsia="ja-JP"/>
        </w:rPr>
        <w:t>Unless (d)(3) is applicable,</w:t>
      </w:r>
      <w:r w:rsidR="0056779F">
        <w:rPr>
          <w:rFonts w:eastAsia="Calibri"/>
          <w:color w:val="auto"/>
          <w:szCs w:val="24"/>
          <w:highlight w:val="yellow"/>
          <w:u w:val="single"/>
          <w:lang w:eastAsia="ja-JP"/>
        </w:rPr>
        <w:t xml:space="preserve"> </w:t>
      </w:r>
      <w:r w:rsidR="0029521E" w:rsidRPr="0029521E">
        <w:rPr>
          <w:rFonts w:eastAsia="Calibri"/>
          <w:color w:val="auto"/>
          <w:szCs w:val="24"/>
          <w:highlight w:val="yellow"/>
          <w:u w:val="single"/>
          <w:lang w:eastAsia="ja-JP"/>
        </w:rPr>
        <w:t xml:space="preserve">for </w:t>
      </w:r>
      <w:r w:rsidR="0029521E" w:rsidRPr="0029521E">
        <w:rPr>
          <w:rFonts w:eastAsia="Calibri"/>
          <w:strike/>
          <w:color w:val="auto"/>
          <w:szCs w:val="24"/>
          <w:highlight w:val="yellow"/>
        </w:rPr>
        <w:t>For</w:t>
      </w:r>
      <w:r w:rsidR="0029521E" w:rsidRPr="0029521E">
        <w:rPr>
          <w:rFonts w:eastAsia="Calibri"/>
          <w:strike/>
          <w:color w:val="auto"/>
          <w:szCs w:val="24"/>
        </w:rPr>
        <w:t xml:space="preserve"> </w:t>
      </w:r>
      <w:r w:rsidR="0029521E" w:rsidRPr="0029521E">
        <w:rPr>
          <w:rFonts w:eastAsia="Calibri"/>
          <w:color w:val="auto"/>
          <w:szCs w:val="24"/>
        </w:rPr>
        <w:t xml:space="preserve">retrospective review, a written decision to deny part or all of the requested medical treatment shall be communicated to the requesting physician who provided the medical services and to the individual who received the medical services, and his or her attorney/designee, if applicable, within 30 days of receipt of </w:t>
      </w:r>
      <w:r>
        <w:rPr>
          <w:rFonts w:eastAsia="Calibri"/>
          <w:color w:val="auto"/>
          <w:szCs w:val="24"/>
        </w:rPr>
        <w:t>the request for authorization</w:t>
      </w:r>
      <w:r w:rsidR="0029521E" w:rsidRPr="0029521E">
        <w:rPr>
          <w:rFonts w:eastAsia="Calibri"/>
          <w:color w:val="auto"/>
          <w:szCs w:val="24"/>
        </w:rPr>
        <w:t>.</w:t>
      </w:r>
    </w:p>
    <w:p w:rsidR="0029521E" w:rsidRPr="0029521E" w:rsidRDefault="0029521E" w:rsidP="0029521E">
      <w:pPr>
        <w:rPr>
          <w:rFonts w:eastAsia="Calibri"/>
          <w:color w:val="auto"/>
          <w:szCs w:val="24"/>
        </w:rPr>
      </w:pPr>
    </w:p>
    <w:p w:rsidR="008D1F40" w:rsidRPr="008D1F40" w:rsidRDefault="00081F19" w:rsidP="008D1F40">
      <w:pPr>
        <w:ind w:left="720"/>
        <w:rPr>
          <w:rFonts w:eastAsia="Calibri"/>
          <w:i/>
          <w:color w:val="auto"/>
          <w:szCs w:val="24"/>
        </w:rPr>
      </w:pPr>
      <w:r>
        <w:rPr>
          <w:rFonts w:eastAsia="Calibri"/>
          <w:i/>
          <w:color w:val="auto"/>
          <w:szCs w:val="24"/>
        </w:rPr>
        <w:t xml:space="preserve">This appears to conflict with </w:t>
      </w:r>
      <w:r w:rsidR="0029521E" w:rsidRPr="0029521E">
        <w:rPr>
          <w:rFonts w:eastAsia="Calibri"/>
          <w:i/>
          <w:color w:val="auto"/>
          <w:szCs w:val="24"/>
        </w:rPr>
        <w:t xml:space="preserve">Section 9792.9.1(d)(3) </w:t>
      </w:r>
      <w:r>
        <w:rPr>
          <w:rFonts w:eastAsia="Calibri"/>
          <w:i/>
          <w:color w:val="auto"/>
          <w:szCs w:val="24"/>
        </w:rPr>
        <w:t xml:space="preserve">which </w:t>
      </w:r>
      <w:r w:rsidR="0029521E" w:rsidRPr="0029521E">
        <w:rPr>
          <w:rFonts w:eastAsia="Calibri"/>
          <w:i/>
          <w:color w:val="auto"/>
          <w:szCs w:val="24"/>
        </w:rPr>
        <w:t xml:space="preserve">deems any timely payment of a medical bill for services requested retroactively on the DWC Form </w:t>
      </w:r>
    </w:p>
    <w:p w:rsidR="0029521E" w:rsidRPr="0029521E" w:rsidRDefault="0029521E" w:rsidP="0029521E">
      <w:pPr>
        <w:ind w:left="720"/>
        <w:rPr>
          <w:rFonts w:eastAsia="Calibri"/>
          <w:i/>
          <w:color w:val="auto"/>
          <w:szCs w:val="24"/>
        </w:rPr>
      </w:pPr>
      <w:r w:rsidRPr="0029521E">
        <w:rPr>
          <w:rFonts w:eastAsia="Calibri"/>
          <w:i/>
          <w:color w:val="auto"/>
          <w:szCs w:val="24"/>
        </w:rPr>
        <w:t>RFA to be a retrospective approval.</w:t>
      </w:r>
      <w:r w:rsidR="00404EED">
        <w:rPr>
          <w:rFonts w:eastAsia="Calibri"/>
          <w:i/>
          <w:color w:val="auto"/>
          <w:szCs w:val="24"/>
        </w:rPr>
        <w:t xml:space="preserve">  </w:t>
      </w:r>
      <w:r w:rsidR="008D1F40" w:rsidRPr="008D1F40">
        <w:rPr>
          <w:rFonts w:eastAsia="Calibri"/>
          <w:i/>
          <w:color w:val="auto"/>
          <w:szCs w:val="24"/>
        </w:rPr>
        <w:t>If (d)(3)(B) applies</w:t>
      </w:r>
      <w:r w:rsidR="0062260B">
        <w:rPr>
          <w:rFonts w:eastAsia="Calibri"/>
          <w:i/>
          <w:color w:val="auto"/>
          <w:szCs w:val="24"/>
        </w:rPr>
        <w:t>,</w:t>
      </w:r>
      <w:r w:rsidR="008D1F40" w:rsidRPr="008D1F40">
        <w:rPr>
          <w:rFonts w:eastAsia="Calibri"/>
          <w:i/>
          <w:color w:val="auto"/>
          <w:szCs w:val="24"/>
        </w:rPr>
        <w:t xml:space="preserve"> a response under (e)(4) will not be necessary</w:t>
      </w:r>
      <w:r w:rsidR="008D1F40">
        <w:rPr>
          <w:rFonts w:eastAsia="Calibri"/>
          <w:i/>
          <w:color w:val="auto"/>
          <w:szCs w:val="24"/>
        </w:rPr>
        <w:t xml:space="preserve">. </w:t>
      </w:r>
      <w:r w:rsidR="008D1F40" w:rsidRPr="008D1F40">
        <w:rPr>
          <w:rFonts w:eastAsia="Calibri"/>
          <w:i/>
          <w:color w:val="auto"/>
          <w:szCs w:val="24"/>
        </w:rPr>
        <w:t xml:space="preserve"> This recommended modification will clarify that (e)(4) will not apply if an explanation is supplied under (d)(3)(B).   </w:t>
      </w:r>
    </w:p>
    <w:p w:rsidR="0029521E" w:rsidRPr="0029521E" w:rsidRDefault="0029521E" w:rsidP="0029521E">
      <w:pPr>
        <w:rPr>
          <w:rFonts w:eastAsia="Calibri"/>
          <w:color w:val="auto"/>
          <w:szCs w:val="24"/>
        </w:rPr>
      </w:pPr>
    </w:p>
    <w:p w:rsidR="0029521E" w:rsidRPr="0029521E" w:rsidRDefault="00D57C85" w:rsidP="0029521E">
      <w:pPr>
        <w:rPr>
          <w:rFonts w:eastAsia="Calibri"/>
          <w:color w:val="auto"/>
          <w:szCs w:val="24"/>
        </w:rPr>
      </w:pPr>
      <w:r>
        <w:rPr>
          <w:rFonts w:eastAsia="Calibri"/>
          <w:color w:val="auto"/>
          <w:szCs w:val="24"/>
        </w:rPr>
        <w:t>(e)</w:t>
      </w:r>
      <w:r w:rsidR="0029521E" w:rsidRPr="0029521E">
        <w:rPr>
          <w:rFonts w:eastAsia="Calibri"/>
          <w:color w:val="auto"/>
          <w:szCs w:val="24"/>
        </w:rPr>
        <w:t xml:space="preserve">(5) The written decision modifying, delaying or denying treatment authorization shall be provided to the requesting physician, the injured worker, </w:t>
      </w:r>
      <w:r w:rsidR="0029521E" w:rsidRPr="0029521E">
        <w:rPr>
          <w:rFonts w:eastAsia="Calibri"/>
          <w:strike/>
          <w:color w:val="auto"/>
          <w:szCs w:val="24"/>
          <w:highlight w:val="yellow"/>
        </w:rPr>
        <w:t>the injured worker’s representative,</w:t>
      </w:r>
      <w:r w:rsidR="0029521E" w:rsidRPr="0029521E">
        <w:rPr>
          <w:rFonts w:eastAsia="Calibri"/>
          <w:color w:val="auto"/>
          <w:szCs w:val="24"/>
        </w:rPr>
        <w:t xml:space="preserve"> and if the injured worker is represented by counsel, the injured worker's attorney</w:t>
      </w:r>
      <w:r w:rsidR="00874F54">
        <w:rPr>
          <w:rFonts w:eastAsia="Calibri"/>
          <w:color w:val="auto"/>
          <w:szCs w:val="24"/>
        </w:rPr>
        <w:t>.  The written decision shall be signed by either the claims administrator or the reviewer,</w:t>
      </w:r>
      <w:r w:rsidR="0029521E" w:rsidRPr="0029521E">
        <w:rPr>
          <w:rFonts w:eastAsia="Calibri"/>
          <w:color w:val="auto"/>
          <w:szCs w:val="24"/>
        </w:rPr>
        <w:t xml:space="preserve"> and shall only contain the following information specific to the request:</w:t>
      </w:r>
    </w:p>
    <w:p w:rsidR="0029521E" w:rsidRPr="0029521E" w:rsidRDefault="0029521E" w:rsidP="0029521E">
      <w:pPr>
        <w:rPr>
          <w:rFonts w:eastAsia="Calibri"/>
          <w:color w:val="auto"/>
          <w:szCs w:val="24"/>
        </w:rPr>
      </w:pPr>
    </w:p>
    <w:p w:rsidR="0029521E" w:rsidRDefault="00874F54" w:rsidP="0029521E">
      <w:pPr>
        <w:ind w:left="720"/>
        <w:rPr>
          <w:rFonts w:eastAsia="Calibri"/>
          <w:i/>
          <w:color w:val="auto"/>
          <w:szCs w:val="24"/>
        </w:rPr>
      </w:pPr>
      <w:r>
        <w:rPr>
          <w:rFonts w:eastAsia="Calibri"/>
          <w:i/>
          <w:color w:val="auto"/>
          <w:szCs w:val="24"/>
        </w:rPr>
        <w:t xml:space="preserve">This section conflicts with </w:t>
      </w:r>
      <w:r w:rsidRPr="0029521E">
        <w:rPr>
          <w:rFonts w:eastAsia="Calibri"/>
          <w:i/>
          <w:color w:val="auto"/>
          <w:szCs w:val="24"/>
        </w:rPr>
        <w:t>Labor Code section 4610.5(j)</w:t>
      </w:r>
      <w:r>
        <w:rPr>
          <w:rFonts w:eastAsia="Calibri"/>
          <w:i/>
          <w:color w:val="auto"/>
          <w:szCs w:val="24"/>
        </w:rPr>
        <w:t xml:space="preserve"> which prohibits t</w:t>
      </w:r>
      <w:r w:rsidR="0029521E" w:rsidRPr="0029521E">
        <w:rPr>
          <w:rFonts w:eastAsia="Calibri"/>
          <w:i/>
          <w:color w:val="auto"/>
          <w:szCs w:val="24"/>
        </w:rPr>
        <w:t xml:space="preserve">he injured worker </w:t>
      </w:r>
      <w:r w:rsidR="00D57C85">
        <w:rPr>
          <w:rFonts w:eastAsia="Calibri"/>
          <w:i/>
          <w:color w:val="auto"/>
          <w:szCs w:val="24"/>
        </w:rPr>
        <w:t>from</w:t>
      </w:r>
      <w:r w:rsidR="0029521E" w:rsidRPr="0029521E">
        <w:rPr>
          <w:rFonts w:eastAsia="Calibri"/>
          <w:i/>
          <w:color w:val="auto"/>
          <w:szCs w:val="24"/>
        </w:rPr>
        <w:t xml:space="preserve"> designat</w:t>
      </w:r>
      <w:r w:rsidR="00D57C85">
        <w:rPr>
          <w:rFonts w:eastAsia="Calibri"/>
          <w:i/>
          <w:color w:val="auto"/>
          <w:szCs w:val="24"/>
        </w:rPr>
        <w:t>ing</w:t>
      </w:r>
      <w:r w:rsidR="0029521E" w:rsidRPr="0029521E">
        <w:rPr>
          <w:rFonts w:eastAsia="Calibri"/>
          <w:i/>
          <w:color w:val="auto"/>
          <w:szCs w:val="24"/>
        </w:rPr>
        <w:t xml:space="preserve"> a representative before the receipt of the decision.</w:t>
      </w:r>
      <w:r w:rsidR="00D57C85">
        <w:rPr>
          <w:rFonts w:eastAsia="Calibri"/>
          <w:i/>
          <w:color w:val="auto"/>
          <w:szCs w:val="24"/>
        </w:rPr>
        <w:t xml:space="preserve">  The recommended deletion will eliminate the conflict. </w:t>
      </w:r>
    </w:p>
    <w:p w:rsidR="002C1C74" w:rsidRPr="002C1C74" w:rsidRDefault="0029521E" w:rsidP="002C1C74">
      <w:pPr>
        <w:rPr>
          <w:rFonts w:eastAsia="Calibri"/>
          <w:color w:val="auto"/>
          <w:szCs w:val="24"/>
        </w:rPr>
      </w:pPr>
      <w:r w:rsidRPr="0029521E">
        <w:rPr>
          <w:rFonts w:eastAsia="Calibri"/>
          <w:color w:val="auto"/>
          <w:szCs w:val="24"/>
        </w:rPr>
        <w:br/>
      </w:r>
      <w:r w:rsidR="002C1C74" w:rsidRPr="002C1C74">
        <w:rPr>
          <w:rFonts w:eastAsia="Calibri"/>
          <w:color w:val="auto"/>
          <w:szCs w:val="24"/>
        </w:rPr>
        <w:t>(e)(6)(B) Medical care provided during a concurrent review shall be medical treatment that is reasonably required to cure or relieve from the effects of the industrial injury</w:t>
      </w:r>
      <w:r w:rsidR="002C1C74" w:rsidRPr="002C1C74">
        <w:rPr>
          <w:rFonts w:eastAsia="Calibri"/>
          <w:color w:val="auto"/>
          <w:szCs w:val="24"/>
          <w:u w:val="single"/>
        </w:rPr>
        <w:t xml:space="preserve"> </w:t>
      </w:r>
      <w:r w:rsidR="002C1C74" w:rsidRPr="002C1C74">
        <w:rPr>
          <w:rFonts w:eastAsia="Calibri"/>
          <w:color w:val="auto"/>
          <w:szCs w:val="24"/>
          <w:highlight w:val="yellow"/>
          <w:u w:val="single"/>
        </w:rPr>
        <w:t>pursuant to Labor Code section 4610(g)(3)(B)</w:t>
      </w:r>
      <w:r w:rsidR="002C1C74" w:rsidRPr="002C1C74">
        <w:rPr>
          <w:rFonts w:eastAsia="Calibri"/>
          <w:color w:val="auto"/>
          <w:szCs w:val="24"/>
        </w:rPr>
        <w:t>.</w:t>
      </w:r>
    </w:p>
    <w:p w:rsidR="002C1C74" w:rsidRPr="002C1C74" w:rsidRDefault="002C1C74" w:rsidP="002C1C74">
      <w:pPr>
        <w:rPr>
          <w:rFonts w:eastAsia="Calibri"/>
          <w:color w:val="auto"/>
          <w:szCs w:val="24"/>
        </w:rPr>
      </w:pPr>
    </w:p>
    <w:p w:rsidR="002C1C74" w:rsidRDefault="002C1C74" w:rsidP="002C1C74">
      <w:pPr>
        <w:ind w:left="720"/>
        <w:rPr>
          <w:rFonts w:eastAsia="Calibri"/>
          <w:i/>
          <w:color w:val="auto"/>
          <w:szCs w:val="24"/>
        </w:rPr>
      </w:pPr>
      <w:r w:rsidRPr="002C1C74">
        <w:rPr>
          <w:rFonts w:eastAsia="Calibri"/>
          <w:i/>
          <w:color w:val="auto"/>
          <w:szCs w:val="24"/>
        </w:rPr>
        <w:t>We suggest adding this Labor Code reference that includes specific additional requirements.</w:t>
      </w:r>
    </w:p>
    <w:p w:rsidR="00F665F6" w:rsidRDefault="00F665F6" w:rsidP="002C1C74">
      <w:pPr>
        <w:ind w:left="720"/>
        <w:rPr>
          <w:rFonts w:eastAsia="Calibri"/>
          <w:i/>
          <w:color w:val="auto"/>
          <w:szCs w:val="24"/>
        </w:rPr>
      </w:pPr>
    </w:p>
    <w:p w:rsidR="000914C6" w:rsidRPr="000914C6" w:rsidRDefault="000914C6" w:rsidP="000914C6">
      <w:pPr>
        <w:rPr>
          <w:rFonts w:eastAsia="Calibri"/>
          <w:b/>
          <w:color w:val="auto"/>
          <w:szCs w:val="24"/>
          <w:u w:val="single"/>
        </w:rPr>
      </w:pPr>
      <w:r w:rsidRPr="000914C6">
        <w:rPr>
          <w:rFonts w:eastAsia="Calibri"/>
          <w:color w:val="auto"/>
          <w:szCs w:val="24"/>
        </w:rPr>
        <w:t>(f)(2)(A) If information reasonably necessary to make a determination is not provided with DWC Form RFA</w:t>
      </w:r>
      <w:r w:rsidRPr="000914C6">
        <w:rPr>
          <w:rFonts w:eastAsia="Calibri"/>
          <w:strike/>
          <w:color w:val="auto"/>
          <w:szCs w:val="24"/>
        </w:rPr>
        <w:t xml:space="preserve"> </w:t>
      </w:r>
      <w:r w:rsidRPr="000914C6">
        <w:rPr>
          <w:rFonts w:eastAsia="Calibri"/>
          <w:strike/>
          <w:color w:val="auto"/>
          <w:szCs w:val="24"/>
          <w:highlight w:val="yellow"/>
        </w:rPr>
        <w:t>or other accepted request for authorization</w:t>
      </w:r>
      <w:r w:rsidRPr="000914C6">
        <w:rPr>
          <w:rFonts w:eastAsia="Calibri"/>
          <w:color w:val="auto"/>
          <w:szCs w:val="24"/>
        </w:rPr>
        <w:t>, a reviewer or non-physician reviewer shall request the information from the treating physician within five (5) business days from the date of receipt of the request.</w:t>
      </w:r>
      <w:r w:rsidRPr="000914C6">
        <w:rPr>
          <w:rFonts w:eastAsia="Calibri"/>
          <w:b/>
          <w:color w:val="auto"/>
          <w:szCs w:val="24"/>
          <w:u w:val="single"/>
        </w:rPr>
        <w:t xml:space="preserve">  </w:t>
      </w:r>
    </w:p>
    <w:p w:rsidR="000914C6" w:rsidRPr="000914C6" w:rsidRDefault="000914C6" w:rsidP="000914C6">
      <w:pPr>
        <w:rPr>
          <w:rFonts w:eastAsia="Calibri"/>
          <w:b/>
          <w:color w:val="auto"/>
          <w:szCs w:val="24"/>
          <w:u w:val="single"/>
        </w:rPr>
      </w:pPr>
    </w:p>
    <w:p w:rsidR="000914C6" w:rsidRPr="000914C6" w:rsidRDefault="000914C6" w:rsidP="000914C6">
      <w:pPr>
        <w:ind w:left="720"/>
        <w:rPr>
          <w:rFonts w:eastAsia="Calibri"/>
          <w:i/>
          <w:color w:val="auto"/>
          <w:szCs w:val="24"/>
        </w:rPr>
      </w:pPr>
      <w:r w:rsidRPr="000914C6">
        <w:rPr>
          <w:rFonts w:eastAsia="Calibri"/>
          <w:i/>
          <w:color w:val="auto"/>
          <w:szCs w:val="24"/>
        </w:rPr>
        <w:t>See introduction and other comments on the necessity for a standard DWC Form RFA.</w:t>
      </w:r>
    </w:p>
    <w:p w:rsidR="000914C6" w:rsidRPr="000914C6" w:rsidRDefault="000914C6" w:rsidP="000914C6">
      <w:pPr>
        <w:rPr>
          <w:rFonts w:eastAsia="Calibri"/>
          <w:b/>
          <w:color w:val="auto"/>
          <w:szCs w:val="24"/>
          <w:u w:val="single"/>
        </w:rPr>
      </w:pPr>
    </w:p>
    <w:p w:rsidR="000914C6" w:rsidRPr="000914C6" w:rsidRDefault="000914C6" w:rsidP="000914C6">
      <w:pPr>
        <w:rPr>
          <w:rFonts w:eastAsia="Calibri"/>
          <w:color w:val="auto"/>
          <w:szCs w:val="24"/>
        </w:rPr>
      </w:pPr>
      <w:r>
        <w:rPr>
          <w:rFonts w:eastAsia="Calibri"/>
          <w:color w:val="auto"/>
          <w:szCs w:val="24"/>
        </w:rPr>
        <w:t>(f)</w:t>
      </w:r>
      <w:r w:rsidRPr="000914C6">
        <w:rPr>
          <w:rFonts w:eastAsia="Calibri"/>
          <w:color w:val="auto"/>
          <w:szCs w:val="24"/>
        </w:rPr>
        <w:t xml:space="preserve">(2)(B) If any of the circumstances set forth in subdivisions (f)(1)(A), (B) or (C) are deemed to apply following the receipt of a DWC Form RFA </w:t>
      </w:r>
      <w:r w:rsidRPr="000914C6">
        <w:rPr>
          <w:rFonts w:eastAsia="Calibri"/>
          <w:strike/>
          <w:color w:val="auto"/>
          <w:szCs w:val="24"/>
          <w:highlight w:val="yellow"/>
        </w:rPr>
        <w:t>or accepted request for authorization</w:t>
      </w:r>
      <w:r w:rsidRPr="000914C6">
        <w:rPr>
          <w:rFonts w:eastAsia="Calibri"/>
          <w:color w:val="auto"/>
          <w:szCs w:val="24"/>
        </w:rPr>
        <w:t xml:space="preserve">, the reviewer shall immediately notify the requesting physician, the injured worker, and if the injured worker is represented by counsel, the injured worker's attorney in writing, that the reviewer cannot make a decision within the required timeframe, and </w:t>
      </w:r>
      <w:r w:rsidRPr="000914C6">
        <w:rPr>
          <w:rFonts w:eastAsia="Calibri"/>
          <w:color w:val="auto"/>
          <w:szCs w:val="24"/>
        </w:rPr>
        <w:lastRenderedPageBreak/>
        <w:t>request, as applicable, the information reasonably necessary to make a determination, the additional examinations or tests required, or the specialty of the expert reviewer to be consulted. The reviewer shall also notify the requesting physician, the injured worker, and if the injured worker is represented by counsel, the injured worker's attorney of the anticipated date on which a decision will be rendered.</w:t>
      </w:r>
    </w:p>
    <w:p w:rsidR="000914C6" w:rsidRPr="000914C6" w:rsidRDefault="000914C6" w:rsidP="000914C6">
      <w:pPr>
        <w:rPr>
          <w:rFonts w:eastAsia="Calibri"/>
          <w:color w:val="auto"/>
          <w:szCs w:val="24"/>
        </w:rPr>
      </w:pPr>
    </w:p>
    <w:p w:rsidR="004D4B72" w:rsidRPr="000914C6" w:rsidRDefault="004D4B72" w:rsidP="004D4B72">
      <w:pPr>
        <w:ind w:left="720"/>
        <w:rPr>
          <w:rFonts w:eastAsia="Calibri"/>
          <w:i/>
          <w:color w:val="auto"/>
          <w:szCs w:val="24"/>
        </w:rPr>
      </w:pPr>
      <w:r w:rsidRPr="000914C6">
        <w:rPr>
          <w:rFonts w:eastAsia="Calibri"/>
          <w:i/>
          <w:color w:val="auto"/>
          <w:szCs w:val="24"/>
        </w:rPr>
        <w:t>See introduction and other comments on the necessity for a standard DWC Form RFA.</w:t>
      </w:r>
    </w:p>
    <w:p w:rsidR="000914C6" w:rsidRPr="000914C6" w:rsidRDefault="000914C6" w:rsidP="000914C6">
      <w:pPr>
        <w:rPr>
          <w:rFonts w:eastAsia="Calibri"/>
          <w:color w:val="auto"/>
          <w:szCs w:val="24"/>
        </w:rPr>
      </w:pPr>
      <w:r w:rsidRPr="000914C6">
        <w:rPr>
          <w:rFonts w:eastAsia="Calibri"/>
          <w:color w:val="auto"/>
          <w:szCs w:val="24"/>
          <w:u w:val="single"/>
        </w:rPr>
        <w:br/>
      </w:r>
      <w:r w:rsidR="004D4B72">
        <w:rPr>
          <w:rFonts w:eastAsia="Calibri"/>
          <w:color w:val="auto"/>
          <w:szCs w:val="24"/>
        </w:rPr>
        <w:t>(f)</w:t>
      </w:r>
      <w:r w:rsidRPr="000914C6">
        <w:rPr>
          <w:rFonts w:eastAsia="Calibri"/>
          <w:color w:val="auto"/>
          <w:szCs w:val="24"/>
        </w:rPr>
        <w:t>(3)(A) If the information reasonably necessary to make a determination under subdivision (f)(1)(A) that is requested by the reviewer or non-</w:t>
      </w:r>
      <w:r w:rsidRPr="000914C6">
        <w:rPr>
          <w:rFonts w:eastAsia="Calibri"/>
          <w:strike/>
          <w:color w:val="auto"/>
          <w:szCs w:val="24"/>
          <w:highlight w:val="yellow"/>
        </w:rPr>
        <w:t>reviewer</w:t>
      </w:r>
      <w:r w:rsidRPr="000914C6">
        <w:rPr>
          <w:rFonts w:eastAsia="Calibri"/>
          <w:strike/>
          <w:color w:val="auto"/>
          <w:szCs w:val="24"/>
        </w:rPr>
        <w:t xml:space="preserve"> </w:t>
      </w:r>
      <w:r w:rsidRPr="000914C6">
        <w:rPr>
          <w:rFonts w:eastAsia="Calibri"/>
          <w:color w:val="auto"/>
          <w:szCs w:val="24"/>
        </w:rPr>
        <w:t xml:space="preserve">physician </w:t>
      </w:r>
      <w:r w:rsidRPr="000914C6">
        <w:rPr>
          <w:rFonts w:eastAsia="Calibri"/>
          <w:color w:val="auto"/>
          <w:szCs w:val="24"/>
          <w:highlight w:val="yellow"/>
          <w:u w:val="single"/>
        </w:rPr>
        <w:t>reviewer</w:t>
      </w:r>
      <w:r w:rsidRPr="000914C6">
        <w:rPr>
          <w:rFonts w:eastAsia="Calibri"/>
          <w:color w:val="auto"/>
          <w:szCs w:val="24"/>
          <w:u w:val="single"/>
        </w:rPr>
        <w:t xml:space="preserve"> </w:t>
      </w:r>
      <w:r w:rsidRPr="000914C6">
        <w:rPr>
          <w:rFonts w:eastAsia="Calibri"/>
          <w:color w:val="auto"/>
          <w:szCs w:val="24"/>
        </w:rPr>
        <w:t xml:space="preserve">under subdivision </w:t>
      </w:r>
      <w:r w:rsidRPr="000914C6">
        <w:rPr>
          <w:rFonts w:eastAsia="Calibri"/>
          <w:color w:val="auto"/>
          <w:szCs w:val="24"/>
          <w:highlight w:val="yellow"/>
          <w:u w:val="single"/>
        </w:rPr>
        <w:t>(f)(2)(A)</w:t>
      </w:r>
      <w:r w:rsidRPr="000914C6">
        <w:rPr>
          <w:rFonts w:eastAsia="Calibri"/>
          <w:color w:val="auto"/>
          <w:szCs w:val="24"/>
        </w:rPr>
        <w:t xml:space="preserve"> is not received within fourteen (14) days from receipt of the completed request for authorization for prospective or concurrent review, or within thirty (30) days of the request for </w:t>
      </w:r>
      <w:r w:rsidRPr="000914C6">
        <w:rPr>
          <w:rFonts w:eastAsia="Calibri"/>
          <w:color w:val="auto"/>
          <w:szCs w:val="24"/>
          <w:highlight w:val="yellow"/>
          <w:u w:val="single"/>
        </w:rPr>
        <w:t>authorization for</w:t>
      </w:r>
      <w:r w:rsidRPr="000914C6">
        <w:rPr>
          <w:rFonts w:eastAsia="Calibri"/>
          <w:color w:val="auto"/>
          <w:szCs w:val="24"/>
          <w:highlight w:val="yellow"/>
        </w:rPr>
        <w:t xml:space="preserve"> </w:t>
      </w:r>
      <w:r w:rsidRPr="000914C6">
        <w:rPr>
          <w:rFonts w:eastAsia="Calibri"/>
          <w:color w:val="auto"/>
          <w:szCs w:val="24"/>
        </w:rPr>
        <w:t>retrospective review, the reviewer shall deny the request with the stated condition that the request will be reconsidered upon receipt of the information.</w:t>
      </w:r>
    </w:p>
    <w:p w:rsidR="000914C6" w:rsidRPr="000914C6" w:rsidRDefault="000914C6" w:rsidP="000914C6">
      <w:pPr>
        <w:rPr>
          <w:rFonts w:eastAsia="Calibri"/>
          <w:b/>
          <w:color w:val="auto"/>
          <w:szCs w:val="24"/>
          <w:u w:val="single"/>
        </w:rPr>
      </w:pPr>
    </w:p>
    <w:p w:rsidR="000914C6" w:rsidRPr="000914C6" w:rsidRDefault="000914C6" w:rsidP="000914C6">
      <w:pPr>
        <w:ind w:left="720"/>
        <w:rPr>
          <w:rFonts w:eastAsia="Calibri"/>
          <w:i/>
          <w:color w:val="auto"/>
          <w:szCs w:val="24"/>
        </w:rPr>
      </w:pPr>
      <w:r w:rsidRPr="000914C6">
        <w:rPr>
          <w:rFonts w:eastAsia="Calibri"/>
          <w:i/>
          <w:color w:val="auto"/>
          <w:szCs w:val="24"/>
        </w:rPr>
        <w:t>The first recommended modification is merely to correct a typographical error.</w:t>
      </w:r>
    </w:p>
    <w:p w:rsidR="000914C6" w:rsidRPr="000914C6" w:rsidRDefault="000914C6" w:rsidP="000914C6">
      <w:pPr>
        <w:ind w:left="720"/>
        <w:rPr>
          <w:rFonts w:eastAsia="Calibri"/>
          <w:i/>
          <w:color w:val="auto"/>
          <w:szCs w:val="24"/>
        </w:rPr>
      </w:pPr>
    </w:p>
    <w:p w:rsidR="000914C6" w:rsidRPr="000914C6" w:rsidRDefault="000914C6" w:rsidP="000914C6">
      <w:pPr>
        <w:ind w:left="720"/>
        <w:rPr>
          <w:rFonts w:eastAsia="Calibri"/>
          <w:i/>
          <w:color w:val="auto"/>
          <w:szCs w:val="24"/>
        </w:rPr>
      </w:pPr>
      <w:r w:rsidRPr="000914C6">
        <w:rPr>
          <w:rFonts w:eastAsia="Calibri"/>
          <w:i/>
          <w:color w:val="auto"/>
          <w:szCs w:val="24"/>
        </w:rPr>
        <w:t xml:space="preserve">“(f)(2)(A)” appears to have been </w:t>
      </w:r>
      <w:r w:rsidR="004D4B72" w:rsidRPr="000914C6">
        <w:rPr>
          <w:rFonts w:eastAsia="Calibri"/>
          <w:i/>
          <w:color w:val="auto"/>
          <w:szCs w:val="24"/>
        </w:rPr>
        <w:t xml:space="preserve">unintentionally </w:t>
      </w:r>
      <w:r w:rsidRPr="000914C6">
        <w:rPr>
          <w:rFonts w:eastAsia="Calibri"/>
          <w:i/>
          <w:color w:val="auto"/>
          <w:szCs w:val="24"/>
        </w:rPr>
        <w:t>omitted.</w:t>
      </w:r>
    </w:p>
    <w:p w:rsidR="000914C6" w:rsidRPr="000914C6" w:rsidRDefault="000914C6" w:rsidP="000914C6">
      <w:pPr>
        <w:ind w:left="720"/>
        <w:rPr>
          <w:rFonts w:eastAsia="Calibri"/>
          <w:i/>
          <w:color w:val="auto"/>
          <w:szCs w:val="24"/>
        </w:rPr>
      </w:pPr>
    </w:p>
    <w:p w:rsidR="000914C6" w:rsidRPr="000914C6" w:rsidRDefault="000914C6" w:rsidP="000914C6">
      <w:pPr>
        <w:ind w:left="720"/>
        <w:rPr>
          <w:rFonts w:eastAsia="Calibri"/>
          <w:i/>
          <w:color w:val="auto"/>
          <w:szCs w:val="24"/>
        </w:rPr>
      </w:pPr>
      <w:r w:rsidRPr="000914C6">
        <w:rPr>
          <w:rFonts w:eastAsia="Calibri"/>
          <w:i/>
          <w:color w:val="auto"/>
          <w:szCs w:val="24"/>
        </w:rPr>
        <w:t xml:space="preserve">The </w:t>
      </w:r>
      <w:r w:rsidR="00575945">
        <w:rPr>
          <w:rFonts w:eastAsia="Calibri"/>
          <w:i/>
          <w:color w:val="auto"/>
          <w:szCs w:val="24"/>
        </w:rPr>
        <w:t>last</w:t>
      </w:r>
      <w:r w:rsidRPr="000914C6">
        <w:rPr>
          <w:rFonts w:eastAsia="Calibri"/>
          <w:i/>
          <w:color w:val="auto"/>
          <w:szCs w:val="24"/>
        </w:rPr>
        <w:t xml:space="preserve"> recommended modification is for clarity and consistency.  </w:t>
      </w:r>
    </w:p>
    <w:p w:rsidR="000914C6" w:rsidRPr="000914C6" w:rsidRDefault="000914C6" w:rsidP="000914C6">
      <w:pPr>
        <w:ind w:left="720"/>
        <w:rPr>
          <w:rFonts w:eastAsia="Calibri"/>
          <w:i/>
          <w:color w:val="auto"/>
          <w:szCs w:val="24"/>
        </w:rPr>
      </w:pPr>
    </w:p>
    <w:p w:rsidR="0029521E" w:rsidRPr="0029521E" w:rsidRDefault="0029521E" w:rsidP="0029521E">
      <w:pPr>
        <w:spacing w:before="100" w:beforeAutospacing="1" w:after="100" w:afterAutospacing="1"/>
        <w:outlineLvl w:val="4"/>
        <w:rPr>
          <w:b/>
          <w:bCs/>
          <w:color w:val="auto"/>
          <w:szCs w:val="24"/>
        </w:rPr>
      </w:pPr>
      <w:r w:rsidRPr="0029521E">
        <w:rPr>
          <w:b/>
          <w:bCs/>
          <w:szCs w:val="24"/>
        </w:rPr>
        <w:t>§9792.10. Utilization Review Standards--Dispute Resolution</w:t>
      </w:r>
      <w:r w:rsidRPr="0029521E">
        <w:rPr>
          <w:b/>
          <w:bCs/>
          <w:color w:val="auto"/>
          <w:szCs w:val="24"/>
        </w:rPr>
        <w:t xml:space="preserve">– For Utilization Review Decisions </w:t>
      </w:r>
      <w:r w:rsidRPr="0029521E">
        <w:rPr>
          <w:b/>
          <w:bCs/>
          <w:strike/>
          <w:color w:val="auto"/>
          <w:szCs w:val="24"/>
          <w:highlight w:val="yellow"/>
        </w:rPr>
        <w:t>Issued</w:t>
      </w:r>
      <w:r w:rsidRPr="0029521E">
        <w:rPr>
          <w:b/>
          <w:bCs/>
          <w:color w:val="auto"/>
          <w:szCs w:val="24"/>
          <w:highlight w:val="yellow"/>
          <w:u w:val="single"/>
        </w:rPr>
        <w:t xml:space="preserve"> Communicated</w:t>
      </w:r>
      <w:r w:rsidRPr="0029521E">
        <w:rPr>
          <w:b/>
          <w:bCs/>
          <w:color w:val="auto"/>
          <w:szCs w:val="24"/>
        </w:rPr>
        <w:t xml:space="preserve"> Prior to July 1, 2013 for Injuries Occurring Prior to January 1, 2013.</w:t>
      </w:r>
    </w:p>
    <w:p w:rsidR="0029521E" w:rsidRPr="0029521E" w:rsidRDefault="0029521E" w:rsidP="0029521E">
      <w:pPr>
        <w:rPr>
          <w:rFonts w:eastAsia="Calibri"/>
          <w:szCs w:val="24"/>
          <w:shd w:val="clear" w:color="auto" w:fill="FFFFFF"/>
        </w:rPr>
      </w:pPr>
      <w:r w:rsidRPr="0029521E">
        <w:rPr>
          <w:rFonts w:eastAsia="Calibri"/>
          <w:color w:val="auto"/>
          <w:szCs w:val="24"/>
        </w:rPr>
        <w:t xml:space="preserve">This section applies </w:t>
      </w:r>
      <w:r w:rsidRPr="0029521E">
        <w:rPr>
          <w:rFonts w:eastAsia="Calibri"/>
          <w:strike/>
          <w:szCs w:val="24"/>
          <w:highlight w:val="yellow"/>
          <w:shd w:val="clear" w:color="auto" w:fill="FFFFFF"/>
        </w:rPr>
        <w:t xml:space="preserve">to </w:t>
      </w:r>
      <w:r w:rsidRPr="0029521E">
        <w:rPr>
          <w:rFonts w:eastAsia="Calibri"/>
          <w:szCs w:val="24"/>
          <w:highlight w:val="yellow"/>
          <w:u w:val="single"/>
          <w:shd w:val="clear" w:color="auto" w:fill="FFFFFF"/>
        </w:rPr>
        <w:t>if the decision on</w:t>
      </w:r>
      <w:r w:rsidRPr="0029521E">
        <w:rPr>
          <w:rFonts w:eastAsia="Calibri"/>
          <w:szCs w:val="24"/>
          <w:u w:val="single"/>
          <w:shd w:val="clear" w:color="auto" w:fill="FFFFFF"/>
        </w:rPr>
        <w:t xml:space="preserve"> </w:t>
      </w:r>
      <w:r w:rsidRPr="0029521E">
        <w:rPr>
          <w:rFonts w:eastAsia="Calibri"/>
          <w:szCs w:val="24"/>
          <w:shd w:val="clear" w:color="auto" w:fill="FFFFFF"/>
        </w:rPr>
        <w:t>any request for authorization of medical treatment, made under Article 5.5.1 of this Subchapter, for an occupational injury or illness occurring prior to January 1, 2013</w:t>
      </w:r>
      <w:r w:rsidRPr="0029521E">
        <w:rPr>
          <w:rFonts w:eastAsia="Calibri"/>
          <w:szCs w:val="24"/>
          <w:highlight w:val="yellow"/>
          <w:u w:val="single"/>
          <w:shd w:val="clear" w:color="auto" w:fill="FFFFFF"/>
        </w:rPr>
        <w:t>,</w:t>
      </w:r>
      <w:r w:rsidRPr="0029521E">
        <w:rPr>
          <w:rFonts w:eastAsia="Calibri"/>
          <w:szCs w:val="24"/>
          <w:highlight w:val="yellow"/>
          <w:shd w:val="clear" w:color="auto" w:fill="FFFFFF"/>
        </w:rPr>
        <w:t xml:space="preserve"> </w:t>
      </w:r>
      <w:r w:rsidRPr="0029521E">
        <w:rPr>
          <w:rFonts w:eastAsia="Calibri"/>
          <w:strike/>
          <w:szCs w:val="24"/>
          <w:highlight w:val="yellow"/>
          <w:shd w:val="clear" w:color="auto" w:fill="FFFFFF"/>
        </w:rPr>
        <w:t>if the decision on the request</w:t>
      </w:r>
      <w:r w:rsidRPr="0029521E">
        <w:rPr>
          <w:rFonts w:eastAsia="Calibri"/>
          <w:szCs w:val="24"/>
          <w:shd w:val="clear" w:color="auto" w:fill="FFFFFF"/>
        </w:rPr>
        <w:t xml:space="preserve"> is communicated to the requesting physician prior to July 1, 2013.  </w:t>
      </w:r>
    </w:p>
    <w:p w:rsidR="0029521E" w:rsidRPr="0029521E" w:rsidRDefault="0029521E" w:rsidP="0029521E">
      <w:pPr>
        <w:spacing w:before="100" w:beforeAutospacing="1" w:after="100" w:afterAutospacing="1"/>
        <w:ind w:left="720"/>
        <w:outlineLvl w:val="4"/>
        <w:rPr>
          <w:rFonts w:eastAsia="Calibri"/>
          <w:i/>
          <w:color w:val="auto"/>
          <w:szCs w:val="24"/>
        </w:rPr>
      </w:pPr>
      <w:r w:rsidRPr="0029521E">
        <w:rPr>
          <w:rFonts w:eastAsia="Calibri"/>
          <w:i/>
          <w:color w:val="auto"/>
          <w:szCs w:val="24"/>
        </w:rPr>
        <w:t xml:space="preserve">The proposed language suggests that the section applies to certain requests for authorization.  According to Labor Code section 4610.5(a), however, IMR applies to injuries occurring on or after January 1, 2013, and to any injury where the decision on requests for authorization is “communicated to the requesting physician on or after July 1, 2013.”  The changes the Institute recommends clarify that the section applies where those IMR conditions do not apply.  </w:t>
      </w:r>
    </w:p>
    <w:p w:rsidR="0029521E" w:rsidRDefault="0029521E" w:rsidP="0029521E">
      <w:pPr>
        <w:rPr>
          <w:rFonts w:eastAsia="Calibri"/>
          <w:color w:val="auto"/>
          <w:szCs w:val="24"/>
        </w:rPr>
      </w:pPr>
    </w:p>
    <w:p w:rsidR="001C6DA2" w:rsidRDefault="001C6DA2" w:rsidP="0029521E">
      <w:pPr>
        <w:rPr>
          <w:rFonts w:eastAsia="Calibri"/>
          <w:color w:val="auto"/>
          <w:szCs w:val="24"/>
        </w:rPr>
      </w:pPr>
      <w:r w:rsidRPr="001C6DA2">
        <w:rPr>
          <w:b/>
          <w:szCs w:val="24"/>
        </w:rPr>
        <w:t>§ 9792.10.1.  Utilization Review Standards--Dispute Resolution – On or After January 1, 2013.</w:t>
      </w:r>
      <w:r w:rsidRPr="001C6DA2">
        <w:rPr>
          <w:b/>
          <w:szCs w:val="24"/>
        </w:rPr>
        <w:br/>
      </w:r>
    </w:p>
    <w:p w:rsidR="00BB25A3" w:rsidRDefault="00BB25A3" w:rsidP="0029521E">
      <w:pPr>
        <w:rPr>
          <w:szCs w:val="24"/>
        </w:rPr>
      </w:pPr>
      <w:r w:rsidRPr="00BB25A3">
        <w:rPr>
          <w:szCs w:val="24"/>
        </w:rPr>
        <w:t xml:space="preserve">(b)(1) A request for independent medical review must be filed by an eligible party by mail, facsimile, or electronic transmission with the Administrative Director, or the Administrative Director’s designee, within 30 days of service of the utilization review </w:t>
      </w:r>
      <w:r w:rsidRPr="00BB25A3">
        <w:rPr>
          <w:szCs w:val="24"/>
        </w:rPr>
        <w:lastRenderedPageBreak/>
        <w:t>decision. The request must be made on the Application for Independent Medical Review, DWC Form IMR</w:t>
      </w:r>
      <w:r w:rsidR="00E04CDD" w:rsidRPr="00E04CDD">
        <w:rPr>
          <w:szCs w:val="24"/>
          <w:u w:val="single"/>
        </w:rPr>
        <w:t xml:space="preserve"> </w:t>
      </w:r>
      <w:r w:rsidR="00E04CDD" w:rsidRPr="00E04CDD">
        <w:rPr>
          <w:szCs w:val="24"/>
          <w:highlight w:val="yellow"/>
          <w:u w:val="single"/>
        </w:rPr>
        <w:t>completed by the claims administrator</w:t>
      </w:r>
      <w:r w:rsidRPr="00BB25A3">
        <w:rPr>
          <w:szCs w:val="24"/>
        </w:rPr>
        <w:t>, and must be submitted with a copy of the written decision delaying, denying, or modifying the request for authorization of medical treatment. At the time of filing, the employee shall concurrently provide a copy of the signed DWC Form IMR, without a copy of the written decision delaying, denying, or modifying the request for authorization of medical treatment, to the claims administrator</w:t>
      </w:r>
      <w:r w:rsidR="00E04CDD">
        <w:rPr>
          <w:szCs w:val="24"/>
        </w:rPr>
        <w:t>.</w:t>
      </w:r>
    </w:p>
    <w:p w:rsidR="00E04CDD" w:rsidRDefault="00E04CDD" w:rsidP="0029521E">
      <w:pPr>
        <w:rPr>
          <w:szCs w:val="24"/>
        </w:rPr>
      </w:pPr>
    </w:p>
    <w:p w:rsidR="00E04CDD" w:rsidRPr="00BB25A3" w:rsidRDefault="00E04CDD" w:rsidP="00E04CDD">
      <w:pPr>
        <w:ind w:left="720"/>
        <w:rPr>
          <w:szCs w:val="24"/>
        </w:rPr>
      </w:pPr>
      <w:r>
        <w:rPr>
          <w:rFonts w:eastAsia="Calibri"/>
          <w:i/>
          <w:color w:val="auto"/>
          <w:szCs w:val="24"/>
        </w:rPr>
        <w:t>The recommended modification cla</w:t>
      </w:r>
      <w:r w:rsidR="007D6AE2">
        <w:rPr>
          <w:rFonts w:eastAsia="Calibri"/>
          <w:i/>
          <w:color w:val="auto"/>
          <w:szCs w:val="24"/>
        </w:rPr>
        <w:t>rifies that the eligible party must submit the form completed by the claims administrator</w:t>
      </w:r>
      <w:r w:rsidR="005D2F97">
        <w:rPr>
          <w:rFonts w:eastAsia="Calibri"/>
          <w:i/>
          <w:color w:val="auto"/>
          <w:szCs w:val="24"/>
        </w:rPr>
        <w:t xml:space="preserve"> </w:t>
      </w:r>
      <w:r w:rsidR="007D6AE2">
        <w:rPr>
          <w:rFonts w:eastAsia="Calibri"/>
          <w:i/>
          <w:color w:val="auto"/>
          <w:szCs w:val="24"/>
        </w:rPr>
        <w:t xml:space="preserve">that </w:t>
      </w:r>
      <w:r w:rsidR="005D2F97">
        <w:rPr>
          <w:rFonts w:eastAsia="Calibri"/>
          <w:i/>
          <w:color w:val="auto"/>
          <w:szCs w:val="24"/>
        </w:rPr>
        <w:t xml:space="preserve">is sent accompanies the written decision. </w:t>
      </w:r>
      <w:r w:rsidR="007D6AE2">
        <w:rPr>
          <w:rFonts w:eastAsia="Calibri"/>
          <w:i/>
          <w:color w:val="auto"/>
          <w:szCs w:val="24"/>
        </w:rPr>
        <w:t xml:space="preserve"> </w:t>
      </w:r>
    </w:p>
    <w:p w:rsidR="00BB25A3" w:rsidRDefault="00BB25A3" w:rsidP="0029521E">
      <w:pPr>
        <w:rPr>
          <w:rFonts w:eastAsia="Calibri"/>
          <w:color w:val="auto"/>
          <w:szCs w:val="24"/>
        </w:rPr>
      </w:pPr>
    </w:p>
    <w:p w:rsidR="001C6DA2" w:rsidRPr="001C6DA2" w:rsidRDefault="001C6DA2" w:rsidP="001C6DA2">
      <w:pPr>
        <w:rPr>
          <w:rFonts w:eastAsia="Calibri"/>
          <w:color w:val="auto"/>
          <w:szCs w:val="24"/>
        </w:rPr>
      </w:pPr>
      <w:r w:rsidRPr="001C6DA2">
        <w:rPr>
          <w:rFonts w:eastAsia="Calibri"/>
          <w:color w:val="auto"/>
          <w:szCs w:val="24"/>
        </w:rPr>
        <w:t xml:space="preserve">(d)(1) Nothing in this section precludes the parties from participating in an internal utilization review appeal process on a voluntary basis provided the employee and, if the employee is represented by counsel, the employee's attorney, have been notified of the 30-day time limit to file an objection to the utilization review decision in accordance with </w:t>
      </w:r>
      <w:hyperlink r:id="rId11" w:history="1">
        <w:r w:rsidRPr="001C6DA2">
          <w:rPr>
            <w:rFonts w:eastAsia="Calibri"/>
            <w:color w:val="auto"/>
          </w:rPr>
          <w:t xml:space="preserve">Labor Code sections </w:t>
        </w:r>
      </w:hyperlink>
      <w:r w:rsidRPr="001C6DA2">
        <w:rPr>
          <w:rFonts w:eastAsia="Calibri"/>
          <w:color w:val="auto"/>
          <w:szCs w:val="24"/>
        </w:rPr>
        <w:t xml:space="preserve">4610.5 and 4610.6. Any request by the injured worker or treating physician for an internal utilization review appeal process conducted under this subdivision must be submitted to the claims administrator within </w:t>
      </w:r>
      <w:r w:rsidRPr="006A06BE">
        <w:rPr>
          <w:rFonts w:eastAsia="Calibri"/>
          <w:color w:val="auto"/>
          <w:szCs w:val="24"/>
          <w:highlight w:val="yellow"/>
          <w:u w:val="single"/>
        </w:rPr>
        <w:t>fifteen</w:t>
      </w:r>
      <w:r w:rsidR="00AC4C62" w:rsidRPr="006A06BE">
        <w:rPr>
          <w:rFonts w:eastAsia="Calibri"/>
          <w:color w:val="auto"/>
          <w:szCs w:val="24"/>
          <w:highlight w:val="yellow"/>
          <w:u w:val="single"/>
        </w:rPr>
        <w:t xml:space="preserve"> </w:t>
      </w:r>
      <w:r w:rsidR="006A06BE" w:rsidRPr="006A06BE">
        <w:rPr>
          <w:rFonts w:eastAsia="Calibri"/>
          <w:color w:val="auto"/>
          <w:szCs w:val="24"/>
          <w:highlight w:val="yellow"/>
          <w:u w:val="single"/>
        </w:rPr>
        <w:t>(</w:t>
      </w:r>
      <w:r w:rsidRPr="006A06BE">
        <w:rPr>
          <w:rFonts w:eastAsia="Calibri"/>
          <w:color w:val="auto"/>
          <w:szCs w:val="24"/>
          <w:highlight w:val="yellow"/>
          <w:u w:val="single"/>
        </w:rPr>
        <w:t>15</w:t>
      </w:r>
      <w:r w:rsidR="006A06BE" w:rsidRPr="006A06BE">
        <w:rPr>
          <w:rFonts w:eastAsia="Calibri"/>
          <w:color w:val="auto"/>
          <w:szCs w:val="24"/>
          <w:highlight w:val="yellow"/>
          <w:u w:val="single"/>
        </w:rPr>
        <w:t>)</w:t>
      </w:r>
      <w:r w:rsidRPr="001C6DA2">
        <w:rPr>
          <w:rFonts w:eastAsia="Calibri"/>
          <w:color w:val="auto"/>
          <w:szCs w:val="24"/>
          <w:highlight w:val="yellow"/>
        </w:rPr>
        <w:t xml:space="preserve"> </w:t>
      </w:r>
      <w:r w:rsidRPr="001C6DA2">
        <w:rPr>
          <w:rFonts w:eastAsia="Calibri"/>
          <w:strike/>
          <w:color w:val="auto"/>
          <w:szCs w:val="24"/>
          <w:highlight w:val="yellow"/>
        </w:rPr>
        <w:t>ten (10)</w:t>
      </w:r>
      <w:r w:rsidRPr="001C6DA2">
        <w:rPr>
          <w:rFonts w:eastAsia="Calibri"/>
          <w:color w:val="auto"/>
          <w:szCs w:val="24"/>
        </w:rPr>
        <w:t xml:space="preserve"> days after the receipt of the utilization review decision.</w:t>
      </w:r>
    </w:p>
    <w:p w:rsidR="001C6DA2" w:rsidRPr="001C6DA2" w:rsidRDefault="001C6DA2" w:rsidP="001C6DA2">
      <w:pPr>
        <w:rPr>
          <w:rFonts w:eastAsia="Calibri"/>
          <w:color w:val="auto"/>
          <w:szCs w:val="24"/>
          <w:u w:val="single"/>
        </w:rPr>
      </w:pPr>
    </w:p>
    <w:p w:rsidR="00116792" w:rsidRPr="00116792" w:rsidRDefault="00116792" w:rsidP="00116792">
      <w:pPr>
        <w:ind w:left="720"/>
        <w:rPr>
          <w:rFonts w:eastAsia="Calibri"/>
          <w:i/>
          <w:color w:val="auto"/>
          <w:szCs w:val="24"/>
        </w:rPr>
      </w:pPr>
      <w:r>
        <w:rPr>
          <w:rFonts w:eastAsia="Calibri"/>
          <w:i/>
          <w:color w:val="auto"/>
          <w:szCs w:val="24"/>
        </w:rPr>
        <w:t>The injured employee</w:t>
      </w:r>
      <w:r w:rsidRPr="00116792">
        <w:rPr>
          <w:rFonts w:eastAsia="Calibri"/>
          <w:i/>
          <w:color w:val="auto"/>
          <w:szCs w:val="24"/>
        </w:rPr>
        <w:t xml:space="preserve"> has </w:t>
      </w:r>
      <w:r w:rsidR="00AC4C62">
        <w:rPr>
          <w:rFonts w:eastAsia="Calibri"/>
          <w:i/>
          <w:color w:val="auto"/>
          <w:szCs w:val="24"/>
        </w:rPr>
        <w:t>thirty</w:t>
      </w:r>
      <w:r w:rsidRPr="00116792">
        <w:rPr>
          <w:rFonts w:eastAsia="Calibri"/>
          <w:i/>
          <w:color w:val="auto"/>
          <w:szCs w:val="24"/>
        </w:rPr>
        <w:t xml:space="preserve"> days from the receipt of the UR decision to request an IMR, </w:t>
      </w:r>
      <w:r w:rsidR="00D946FE">
        <w:rPr>
          <w:rFonts w:eastAsia="Calibri"/>
          <w:i/>
          <w:color w:val="auto"/>
          <w:szCs w:val="24"/>
        </w:rPr>
        <w:t>therefore</w:t>
      </w:r>
      <w:r w:rsidRPr="00116792">
        <w:rPr>
          <w:rFonts w:eastAsia="Calibri"/>
          <w:i/>
          <w:color w:val="auto"/>
          <w:szCs w:val="24"/>
        </w:rPr>
        <w:t xml:space="preserve"> </w:t>
      </w:r>
      <w:r>
        <w:rPr>
          <w:rFonts w:eastAsia="Calibri"/>
          <w:i/>
          <w:color w:val="auto"/>
          <w:szCs w:val="24"/>
        </w:rPr>
        <w:t>fifteen days is doable within the timeframe</w:t>
      </w:r>
      <w:r w:rsidRPr="00116792">
        <w:rPr>
          <w:rFonts w:eastAsia="Calibri"/>
          <w:i/>
          <w:color w:val="auto"/>
          <w:szCs w:val="24"/>
        </w:rPr>
        <w:t xml:space="preserve">.  </w:t>
      </w:r>
      <w:r>
        <w:rPr>
          <w:rFonts w:eastAsia="Calibri"/>
          <w:i/>
          <w:color w:val="auto"/>
          <w:szCs w:val="24"/>
        </w:rPr>
        <w:t>Those using an internal</w:t>
      </w:r>
      <w:r w:rsidR="00DE76F8">
        <w:rPr>
          <w:rFonts w:eastAsia="Calibri"/>
          <w:i/>
          <w:color w:val="auto"/>
          <w:szCs w:val="24"/>
        </w:rPr>
        <w:t xml:space="preserve"> UR process </w:t>
      </w:r>
      <w:r w:rsidR="00AC4C62">
        <w:rPr>
          <w:rFonts w:eastAsia="Calibri"/>
          <w:i/>
          <w:color w:val="auto"/>
          <w:szCs w:val="24"/>
        </w:rPr>
        <w:t>report</w:t>
      </w:r>
      <w:r w:rsidR="00DE76F8">
        <w:rPr>
          <w:rFonts w:eastAsia="Calibri"/>
          <w:i/>
          <w:color w:val="auto"/>
          <w:szCs w:val="24"/>
        </w:rPr>
        <w:t xml:space="preserve"> seeing up to </w:t>
      </w:r>
      <w:r w:rsidRPr="00116792">
        <w:rPr>
          <w:rFonts w:eastAsia="Calibri"/>
          <w:i/>
          <w:color w:val="auto"/>
          <w:szCs w:val="24"/>
        </w:rPr>
        <w:t xml:space="preserve">50% of the determinations overturned during the </w:t>
      </w:r>
      <w:r w:rsidR="00AC4C62">
        <w:rPr>
          <w:rFonts w:eastAsia="Calibri"/>
          <w:i/>
          <w:color w:val="auto"/>
          <w:szCs w:val="24"/>
        </w:rPr>
        <w:t xml:space="preserve">internal </w:t>
      </w:r>
      <w:r w:rsidRPr="00116792">
        <w:rPr>
          <w:rFonts w:eastAsia="Calibri"/>
          <w:i/>
          <w:color w:val="auto"/>
          <w:szCs w:val="24"/>
        </w:rPr>
        <w:t>process</w:t>
      </w:r>
      <w:r w:rsidR="00DE76F8">
        <w:rPr>
          <w:rFonts w:eastAsia="Calibri"/>
          <w:i/>
          <w:color w:val="auto"/>
          <w:szCs w:val="24"/>
        </w:rPr>
        <w:t xml:space="preserve">, </w:t>
      </w:r>
      <w:r w:rsidRPr="00116792">
        <w:rPr>
          <w:rFonts w:eastAsia="Calibri"/>
          <w:i/>
          <w:color w:val="auto"/>
          <w:szCs w:val="24"/>
        </w:rPr>
        <w:t>primarily because the initial denial was based on lack of documentation necessary to make a decision</w:t>
      </w:r>
      <w:r w:rsidR="00CA1C75" w:rsidRPr="00CA1C75">
        <w:rPr>
          <w:rFonts w:eastAsia="Calibri"/>
          <w:i/>
          <w:color w:val="auto"/>
          <w:szCs w:val="24"/>
        </w:rPr>
        <w:t xml:space="preserve"> when the requesting physician failed to respond to a request for information necessary to make a determination,</w:t>
      </w:r>
      <w:r w:rsidR="00DE76F8">
        <w:rPr>
          <w:rFonts w:eastAsia="Calibri"/>
          <w:i/>
          <w:color w:val="auto"/>
          <w:szCs w:val="24"/>
        </w:rPr>
        <w:t xml:space="preserve"> and the </w:t>
      </w:r>
      <w:r w:rsidR="00CA1C75">
        <w:rPr>
          <w:rFonts w:eastAsia="Calibri"/>
          <w:i/>
          <w:color w:val="auto"/>
          <w:szCs w:val="24"/>
        </w:rPr>
        <w:t>information</w:t>
      </w:r>
      <w:r w:rsidR="00AC4C62">
        <w:rPr>
          <w:rFonts w:eastAsia="Calibri"/>
          <w:i/>
          <w:color w:val="auto"/>
          <w:szCs w:val="24"/>
        </w:rPr>
        <w:t xml:space="preserve"> </w:t>
      </w:r>
      <w:r w:rsidR="00DE76F8">
        <w:rPr>
          <w:rFonts w:eastAsia="Calibri"/>
          <w:i/>
          <w:color w:val="auto"/>
          <w:szCs w:val="24"/>
        </w:rPr>
        <w:t xml:space="preserve">came </w:t>
      </w:r>
      <w:r w:rsidR="00AC4C62">
        <w:rPr>
          <w:rFonts w:eastAsia="Calibri"/>
          <w:i/>
          <w:color w:val="auto"/>
          <w:szCs w:val="24"/>
        </w:rPr>
        <w:t>in during the 15-day timeframe</w:t>
      </w:r>
      <w:r w:rsidRPr="00116792">
        <w:rPr>
          <w:rFonts w:eastAsia="Calibri"/>
          <w:i/>
          <w:color w:val="auto"/>
          <w:szCs w:val="24"/>
        </w:rPr>
        <w:t xml:space="preserve">.  </w:t>
      </w:r>
      <w:r w:rsidR="00AC4C62">
        <w:rPr>
          <w:rFonts w:eastAsia="Calibri"/>
          <w:i/>
          <w:color w:val="auto"/>
          <w:szCs w:val="24"/>
        </w:rPr>
        <w:t xml:space="preserve">If the number of days is reduced from fifteen </w:t>
      </w:r>
      <w:r w:rsidR="00D946FE">
        <w:rPr>
          <w:rFonts w:eastAsia="Calibri"/>
          <w:i/>
          <w:color w:val="auto"/>
          <w:szCs w:val="24"/>
        </w:rPr>
        <w:t xml:space="preserve">to ten, the number of IMR requests will increase unnecessarily.  </w:t>
      </w:r>
    </w:p>
    <w:p w:rsidR="001C6DA2" w:rsidRDefault="001C6DA2" w:rsidP="001C6DA2">
      <w:pPr>
        <w:ind w:left="720"/>
        <w:rPr>
          <w:rFonts w:eastAsia="Calibri"/>
          <w:i/>
          <w:color w:val="auto"/>
          <w:szCs w:val="24"/>
        </w:rPr>
      </w:pPr>
    </w:p>
    <w:p w:rsidR="001C6DA2" w:rsidRDefault="001C6DA2" w:rsidP="0029521E">
      <w:pPr>
        <w:rPr>
          <w:rFonts w:eastAsia="Calibri"/>
          <w:b/>
          <w:color w:val="auto"/>
          <w:szCs w:val="24"/>
        </w:rPr>
      </w:pPr>
    </w:p>
    <w:p w:rsidR="0029521E" w:rsidRPr="0029521E" w:rsidRDefault="0029521E" w:rsidP="0029521E">
      <w:pPr>
        <w:rPr>
          <w:rFonts w:eastAsia="Calibri"/>
          <w:b/>
          <w:color w:val="auto"/>
          <w:szCs w:val="24"/>
        </w:rPr>
      </w:pPr>
      <w:r w:rsidRPr="00971AD4">
        <w:rPr>
          <w:rFonts w:eastAsia="Calibri"/>
          <w:b/>
          <w:color w:val="auto"/>
          <w:szCs w:val="24"/>
        </w:rPr>
        <w:t>§ 9792.10.2.   Application for Independent Medical Review, DWC Form IMR</w:t>
      </w:r>
    </w:p>
    <w:p w:rsidR="0029521E" w:rsidRPr="0029521E" w:rsidRDefault="0029521E" w:rsidP="0029521E">
      <w:pPr>
        <w:rPr>
          <w:rFonts w:eastAsia="Calibri"/>
          <w:b/>
          <w:color w:val="auto"/>
          <w:szCs w:val="24"/>
        </w:rPr>
      </w:pPr>
    </w:p>
    <w:p w:rsidR="008B4202" w:rsidRPr="008B4202" w:rsidRDefault="008B4202" w:rsidP="008B4202">
      <w:pPr>
        <w:ind w:left="720"/>
        <w:rPr>
          <w:rFonts w:eastAsia="Calibri"/>
          <w:i/>
          <w:color w:val="auto"/>
          <w:szCs w:val="24"/>
        </w:rPr>
      </w:pPr>
      <w:r w:rsidRPr="008B4202">
        <w:rPr>
          <w:rFonts w:eastAsia="Calibri"/>
          <w:i/>
          <w:color w:val="auto"/>
          <w:szCs w:val="24"/>
        </w:rPr>
        <w:t xml:space="preserve">See </w:t>
      </w:r>
      <w:r w:rsidR="00B6007F" w:rsidRPr="008B4202">
        <w:rPr>
          <w:rFonts w:eastAsia="Calibri"/>
          <w:i/>
          <w:color w:val="auto"/>
          <w:szCs w:val="24"/>
        </w:rPr>
        <w:t xml:space="preserve">the Institute’s </w:t>
      </w:r>
      <w:r w:rsidRPr="008B4202">
        <w:rPr>
          <w:rFonts w:eastAsia="Calibri"/>
          <w:i/>
          <w:color w:val="auto"/>
          <w:szCs w:val="24"/>
        </w:rPr>
        <w:t xml:space="preserve">recommended changes </w:t>
      </w:r>
      <w:r w:rsidR="00BC2535">
        <w:rPr>
          <w:rFonts w:eastAsia="Calibri"/>
          <w:i/>
          <w:color w:val="auto"/>
          <w:szCs w:val="24"/>
        </w:rPr>
        <w:t xml:space="preserve">in the </w:t>
      </w:r>
      <w:r w:rsidR="00B6007F" w:rsidRPr="008B4202">
        <w:rPr>
          <w:rFonts w:eastAsia="Calibri"/>
          <w:i/>
          <w:color w:val="auto"/>
          <w:szCs w:val="24"/>
        </w:rPr>
        <w:t>attached form</w:t>
      </w:r>
      <w:r w:rsidR="00BC2535">
        <w:rPr>
          <w:rFonts w:eastAsia="Calibri"/>
          <w:i/>
          <w:color w:val="auto"/>
          <w:szCs w:val="24"/>
        </w:rPr>
        <w:t xml:space="preserve">.   </w:t>
      </w:r>
      <w:r w:rsidRPr="008B4202">
        <w:rPr>
          <w:rFonts w:eastAsia="Calibri"/>
          <w:i/>
          <w:color w:val="auto"/>
          <w:szCs w:val="24"/>
        </w:rPr>
        <w:t xml:space="preserve">The reasons for </w:t>
      </w:r>
      <w:r w:rsidR="00B6007F">
        <w:rPr>
          <w:rFonts w:eastAsia="Calibri"/>
          <w:i/>
          <w:color w:val="auto"/>
          <w:szCs w:val="24"/>
        </w:rPr>
        <w:t xml:space="preserve">the </w:t>
      </w:r>
      <w:r w:rsidRPr="008B4202">
        <w:rPr>
          <w:rFonts w:eastAsia="Calibri"/>
          <w:i/>
          <w:color w:val="auto"/>
          <w:szCs w:val="24"/>
        </w:rPr>
        <w:t xml:space="preserve">recommended </w:t>
      </w:r>
      <w:r w:rsidR="00B6007F">
        <w:rPr>
          <w:rFonts w:eastAsia="Calibri"/>
          <w:i/>
          <w:color w:val="auto"/>
          <w:szCs w:val="24"/>
        </w:rPr>
        <w:t xml:space="preserve">changes </w:t>
      </w:r>
      <w:r w:rsidRPr="008B4202">
        <w:rPr>
          <w:rFonts w:eastAsia="Calibri"/>
          <w:i/>
          <w:color w:val="auto"/>
          <w:szCs w:val="24"/>
        </w:rPr>
        <w:t>are summarized as follows:</w:t>
      </w:r>
    </w:p>
    <w:p w:rsidR="001C2AD2" w:rsidRDefault="001C2AD2" w:rsidP="00F614D5">
      <w:pPr>
        <w:ind w:left="720"/>
        <w:rPr>
          <w:rFonts w:eastAsia="Calibri"/>
          <w:i/>
          <w:color w:val="auto"/>
          <w:szCs w:val="24"/>
        </w:rPr>
      </w:pPr>
    </w:p>
    <w:p w:rsidR="00992DB4" w:rsidRDefault="00992DB4" w:rsidP="006947BF">
      <w:pPr>
        <w:numPr>
          <w:ilvl w:val="0"/>
          <w:numId w:val="60"/>
        </w:numPr>
        <w:ind w:left="1080"/>
        <w:rPr>
          <w:rFonts w:eastAsia="Calibri"/>
          <w:i/>
          <w:color w:val="auto"/>
          <w:szCs w:val="24"/>
        </w:rPr>
      </w:pPr>
      <w:r>
        <w:rPr>
          <w:rFonts w:eastAsia="Calibri"/>
          <w:i/>
          <w:color w:val="auto"/>
          <w:szCs w:val="24"/>
        </w:rPr>
        <w:t>There is a typographical error in the spelling of “independent” in the box near the top of the form.</w:t>
      </w:r>
    </w:p>
    <w:p w:rsidR="00992DB4" w:rsidRDefault="00992DB4" w:rsidP="006947BF">
      <w:pPr>
        <w:ind w:left="1080"/>
        <w:rPr>
          <w:rFonts w:eastAsia="Calibri"/>
          <w:i/>
          <w:color w:val="auto"/>
          <w:szCs w:val="24"/>
        </w:rPr>
      </w:pPr>
    </w:p>
    <w:p w:rsidR="00C90BB6" w:rsidRPr="00C90BB6" w:rsidRDefault="00C90BB6" w:rsidP="006947BF">
      <w:pPr>
        <w:numPr>
          <w:ilvl w:val="0"/>
          <w:numId w:val="60"/>
        </w:numPr>
        <w:ind w:left="1080"/>
        <w:rPr>
          <w:rFonts w:eastAsia="Calibri"/>
          <w:i/>
          <w:color w:val="auto"/>
          <w:szCs w:val="24"/>
        </w:rPr>
      </w:pPr>
      <w:r w:rsidRPr="00C90BB6">
        <w:rPr>
          <w:rFonts w:eastAsia="Calibri"/>
          <w:i/>
          <w:color w:val="auto"/>
          <w:szCs w:val="24"/>
        </w:rPr>
        <w:t>It is not clear why the EAMS case number and the 22</w:t>
      </w:r>
      <w:r w:rsidR="001062FF">
        <w:rPr>
          <w:rFonts w:eastAsia="Calibri"/>
          <w:i/>
          <w:color w:val="auto"/>
          <w:szCs w:val="24"/>
        </w:rPr>
        <w:t>-</w:t>
      </w:r>
      <w:r w:rsidRPr="00C90BB6">
        <w:rPr>
          <w:rFonts w:eastAsia="Calibri"/>
          <w:i/>
          <w:color w:val="auto"/>
          <w:szCs w:val="24"/>
        </w:rPr>
        <w:t xml:space="preserve">digit WCIS Jurisdictional claim number (JCN) are required.  They are not necessary in the application process for independent review, nor are they useful for performing independent review.  It has been suggested that they are necessary as replacements for the </w:t>
      </w:r>
      <w:r w:rsidR="001062FF">
        <w:rPr>
          <w:rFonts w:eastAsia="Calibri"/>
          <w:i/>
          <w:color w:val="auto"/>
          <w:szCs w:val="24"/>
        </w:rPr>
        <w:t>S</w:t>
      </w:r>
      <w:r w:rsidRPr="00C90BB6">
        <w:rPr>
          <w:rFonts w:eastAsia="Calibri"/>
          <w:i/>
          <w:color w:val="auto"/>
          <w:szCs w:val="24"/>
        </w:rPr>
        <w:t xml:space="preserve">ocial </w:t>
      </w:r>
      <w:r w:rsidR="001062FF">
        <w:rPr>
          <w:rFonts w:eastAsia="Calibri"/>
          <w:i/>
          <w:color w:val="auto"/>
          <w:szCs w:val="24"/>
        </w:rPr>
        <w:t>S</w:t>
      </w:r>
      <w:r w:rsidRPr="00C90BB6">
        <w:rPr>
          <w:rFonts w:eastAsia="Calibri"/>
          <w:i/>
          <w:color w:val="auto"/>
          <w:szCs w:val="24"/>
        </w:rPr>
        <w:t xml:space="preserve">ecurity number here, however the </w:t>
      </w:r>
      <w:r w:rsidR="001062FF">
        <w:rPr>
          <w:rFonts w:eastAsia="Calibri"/>
          <w:i/>
          <w:color w:val="auto"/>
          <w:szCs w:val="24"/>
        </w:rPr>
        <w:t>S</w:t>
      </w:r>
      <w:r w:rsidRPr="00C90BB6">
        <w:rPr>
          <w:rFonts w:eastAsia="Calibri"/>
          <w:i/>
          <w:color w:val="auto"/>
          <w:szCs w:val="24"/>
        </w:rPr>
        <w:t xml:space="preserve">ocial </w:t>
      </w:r>
      <w:r w:rsidR="001062FF">
        <w:rPr>
          <w:rFonts w:eastAsia="Calibri"/>
          <w:i/>
          <w:color w:val="auto"/>
          <w:szCs w:val="24"/>
        </w:rPr>
        <w:t>S</w:t>
      </w:r>
      <w:r w:rsidRPr="00C90BB6">
        <w:rPr>
          <w:rFonts w:eastAsia="Calibri"/>
          <w:i/>
          <w:color w:val="auto"/>
          <w:szCs w:val="24"/>
        </w:rPr>
        <w:t xml:space="preserve">ecurity number is also unnecessary.  The claim number, or the employee name, and date of injury, which are included on the form, provide the </w:t>
      </w:r>
      <w:r w:rsidRPr="00C90BB6">
        <w:rPr>
          <w:rFonts w:eastAsia="Calibri"/>
          <w:i/>
          <w:color w:val="auto"/>
          <w:szCs w:val="24"/>
        </w:rPr>
        <w:lastRenderedPageBreak/>
        <w:t xml:space="preserve">identification that is necessary, are less burdensome, and can and are used by the Division to crosswalk to the EAMS and JCN numbers in the event they are necessary.  </w:t>
      </w:r>
      <w:r w:rsidR="00305CFC">
        <w:rPr>
          <w:rFonts w:eastAsia="Calibri"/>
          <w:i/>
          <w:color w:val="auto"/>
          <w:szCs w:val="24"/>
        </w:rPr>
        <w:t xml:space="preserve">The date of birth can be added for additional identification. </w:t>
      </w:r>
      <w:r w:rsidR="00305CFC" w:rsidRPr="00C90BB6">
        <w:rPr>
          <w:rFonts w:eastAsia="Calibri"/>
          <w:i/>
          <w:color w:val="auto"/>
          <w:szCs w:val="24"/>
        </w:rPr>
        <w:t xml:space="preserve"> </w:t>
      </w:r>
      <w:r w:rsidRPr="00C90BB6">
        <w:rPr>
          <w:rFonts w:eastAsia="Calibri"/>
          <w:i/>
          <w:color w:val="auto"/>
          <w:szCs w:val="24"/>
        </w:rPr>
        <w:t>If the Administrative Director retains these requirements, the additional time and expense needed to provide that information must be considered and disclosed in the regulatory process.</w:t>
      </w:r>
    </w:p>
    <w:p w:rsidR="001C2AD2" w:rsidRPr="001C2AD2" w:rsidRDefault="001C2AD2" w:rsidP="006947BF">
      <w:pPr>
        <w:ind w:left="360"/>
        <w:rPr>
          <w:rFonts w:eastAsia="Calibri"/>
          <w:i/>
          <w:color w:val="auto"/>
          <w:szCs w:val="24"/>
        </w:rPr>
      </w:pPr>
    </w:p>
    <w:p w:rsidR="001C2AD2" w:rsidRPr="001C2AD2" w:rsidRDefault="001C2AD2" w:rsidP="006947BF">
      <w:pPr>
        <w:pStyle w:val="ListParagraph"/>
        <w:numPr>
          <w:ilvl w:val="0"/>
          <w:numId w:val="59"/>
        </w:numPr>
        <w:ind w:left="1080"/>
        <w:rPr>
          <w:rFonts w:eastAsia="Calibri"/>
          <w:i/>
        </w:rPr>
      </w:pPr>
      <w:r w:rsidRPr="001C2AD2">
        <w:rPr>
          <w:rFonts w:eastAsia="Calibri"/>
          <w:i/>
        </w:rPr>
        <w:t>Recommended changes are necessary to clarify that the disputed treatment is to be entered as described by the physician on the request for authorization.</w:t>
      </w:r>
    </w:p>
    <w:p w:rsidR="001C2AD2" w:rsidRPr="001C2AD2" w:rsidRDefault="001C2AD2" w:rsidP="006947BF">
      <w:pPr>
        <w:ind w:left="360"/>
        <w:rPr>
          <w:rFonts w:eastAsia="Calibri"/>
          <w:i/>
          <w:color w:val="auto"/>
          <w:szCs w:val="24"/>
        </w:rPr>
      </w:pPr>
    </w:p>
    <w:p w:rsidR="001C2AD2" w:rsidRDefault="001C2AD2" w:rsidP="006947BF">
      <w:pPr>
        <w:pStyle w:val="ListParagraph"/>
        <w:numPr>
          <w:ilvl w:val="0"/>
          <w:numId w:val="59"/>
        </w:numPr>
        <w:ind w:left="1080"/>
        <w:rPr>
          <w:rFonts w:eastAsia="Calibri"/>
          <w:i/>
        </w:rPr>
      </w:pPr>
      <w:r w:rsidRPr="001C2AD2">
        <w:rPr>
          <w:rFonts w:eastAsia="Calibri"/>
          <w:i/>
        </w:rPr>
        <w:t>It is necessary to identify services or goods:</w:t>
      </w:r>
    </w:p>
    <w:p w:rsidR="00D47191" w:rsidRPr="00D47191" w:rsidRDefault="00D47191" w:rsidP="006947BF">
      <w:pPr>
        <w:rPr>
          <w:rFonts w:eastAsia="Calibri"/>
          <w:i/>
          <w:sz w:val="12"/>
        </w:rPr>
      </w:pPr>
    </w:p>
    <w:p w:rsidR="001C2AD2" w:rsidRDefault="001062FF" w:rsidP="006947BF">
      <w:pPr>
        <w:pStyle w:val="ListParagraph"/>
        <w:numPr>
          <w:ilvl w:val="1"/>
          <w:numId w:val="59"/>
        </w:numPr>
        <w:ind w:left="1800"/>
        <w:rPr>
          <w:rFonts w:eastAsia="Calibri"/>
          <w:i/>
        </w:rPr>
      </w:pPr>
      <w:r>
        <w:rPr>
          <w:rFonts w:eastAsia="Calibri"/>
          <w:i/>
        </w:rPr>
        <w:t>For which the</w:t>
      </w:r>
      <w:r w:rsidR="001C2AD2" w:rsidRPr="001C2AD2">
        <w:rPr>
          <w:rFonts w:eastAsia="Calibri"/>
          <w:i/>
        </w:rPr>
        <w:t xml:space="preserve"> medical necessity is disputed during utilization review but that are also disputed for reasons other than medical necessity because this will alert the Administrative Director that IMR must be delayed until the non-medical necessity dispute is resolved</w:t>
      </w:r>
      <w:r w:rsidR="002543EB">
        <w:rPr>
          <w:rFonts w:eastAsia="Calibri"/>
          <w:i/>
        </w:rPr>
        <w:t>.</w:t>
      </w:r>
      <w:r w:rsidR="001C2AD2" w:rsidRPr="001C2AD2">
        <w:rPr>
          <w:rFonts w:eastAsia="Calibri"/>
          <w:i/>
        </w:rPr>
        <w:t xml:space="preserve"> </w:t>
      </w:r>
    </w:p>
    <w:p w:rsidR="00D47191" w:rsidRPr="00D47191" w:rsidRDefault="00D47191" w:rsidP="006947BF">
      <w:pPr>
        <w:pStyle w:val="ListParagraph"/>
        <w:ind w:left="1800"/>
        <w:rPr>
          <w:rFonts w:eastAsia="Calibri"/>
          <w:i/>
          <w:sz w:val="12"/>
        </w:rPr>
      </w:pPr>
    </w:p>
    <w:p w:rsidR="001C2AD2" w:rsidRDefault="001062FF" w:rsidP="006947BF">
      <w:pPr>
        <w:pStyle w:val="ListParagraph"/>
        <w:numPr>
          <w:ilvl w:val="1"/>
          <w:numId w:val="59"/>
        </w:numPr>
        <w:ind w:left="1800"/>
        <w:rPr>
          <w:rFonts w:eastAsia="Calibri"/>
          <w:i/>
        </w:rPr>
      </w:pPr>
      <w:r>
        <w:rPr>
          <w:rFonts w:eastAsia="Calibri"/>
          <w:i/>
        </w:rPr>
        <w:t xml:space="preserve">That are </w:t>
      </w:r>
      <w:r w:rsidR="001C2AD2" w:rsidRPr="001C2AD2">
        <w:rPr>
          <w:rFonts w:eastAsia="Calibri"/>
          <w:i/>
        </w:rPr>
        <w:t>delayed or disputed because the physician did not submit the reasonably requested medical information that is necessary to review the request for authorization, because the IMR application should be ineligible until the necessary information is timely submitted for a request for authorization and the claims administrator completes the utilization review</w:t>
      </w:r>
      <w:r w:rsidR="00846A69">
        <w:rPr>
          <w:rFonts w:eastAsia="Calibri"/>
          <w:i/>
        </w:rPr>
        <w:t>.</w:t>
      </w:r>
      <w:r w:rsidR="001C2AD2" w:rsidRPr="001C2AD2">
        <w:rPr>
          <w:rFonts w:eastAsia="Calibri"/>
          <w:i/>
        </w:rPr>
        <w:t xml:space="preserve"> </w:t>
      </w:r>
    </w:p>
    <w:p w:rsidR="00D47191" w:rsidRPr="00D47191" w:rsidRDefault="00D47191" w:rsidP="006947BF">
      <w:pPr>
        <w:rPr>
          <w:rFonts w:eastAsia="Calibri"/>
          <w:i/>
          <w:sz w:val="12"/>
        </w:rPr>
      </w:pPr>
    </w:p>
    <w:p w:rsidR="001C2AD2" w:rsidRDefault="001C2AD2" w:rsidP="006947BF">
      <w:pPr>
        <w:pStyle w:val="ListParagraph"/>
        <w:numPr>
          <w:ilvl w:val="0"/>
          <w:numId w:val="59"/>
        </w:numPr>
        <w:ind w:left="1080"/>
        <w:rPr>
          <w:rFonts w:eastAsia="Calibri"/>
          <w:i/>
        </w:rPr>
      </w:pPr>
      <w:r w:rsidRPr="001C2AD2">
        <w:rPr>
          <w:rFonts w:eastAsia="Calibri"/>
          <w:i/>
        </w:rPr>
        <w:t xml:space="preserve">Requiring the injured employee's original signature </w:t>
      </w:r>
      <w:r w:rsidR="002543EB">
        <w:rPr>
          <w:rFonts w:eastAsia="Calibri"/>
          <w:i/>
        </w:rPr>
        <w:t xml:space="preserve">on the IMR form completed by the claims administrator </w:t>
      </w:r>
      <w:r w:rsidRPr="001C2AD2">
        <w:rPr>
          <w:rFonts w:eastAsia="Calibri"/>
          <w:i/>
        </w:rPr>
        <w:t>when requesting the review will ensure that the employee is aware of, and wishes this independent review.</w:t>
      </w:r>
    </w:p>
    <w:p w:rsidR="009667AD" w:rsidRDefault="009667AD" w:rsidP="006947BF">
      <w:pPr>
        <w:pStyle w:val="ListParagraph"/>
        <w:ind w:left="1080"/>
        <w:rPr>
          <w:rFonts w:eastAsia="Calibri"/>
          <w:i/>
        </w:rPr>
      </w:pPr>
    </w:p>
    <w:p w:rsidR="00CB7FE8" w:rsidRPr="001C2AD2" w:rsidRDefault="00CB7FE8" w:rsidP="006947BF">
      <w:pPr>
        <w:pStyle w:val="ListParagraph"/>
        <w:numPr>
          <w:ilvl w:val="0"/>
          <w:numId w:val="59"/>
        </w:numPr>
        <w:ind w:left="1080"/>
        <w:rPr>
          <w:rFonts w:eastAsia="Calibri"/>
          <w:i/>
        </w:rPr>
      </w:pPr>
      <w:r>
        <w:rPr>
          <w:rFonts w:eastAsia="Calibri"/>
          <w:i/>
        </w:rPr>
        <w:t>We note a typographical error</w:t>
      </w:r>
      <w:r w:rsidR="009667AD">
        <w:rPr>
          <w:rFonts w:eastAsia="Calibri"/>
          <w:i/>
        </w:rPr>
        <w:t xml:space="preserve"> which can be corrected by replacing </w:t>
      </w:r>
      <w:r>
        <w:rPr>
          <w:rFonts w:eastAsia="Calibri"/>
          <w:i/>
        </w:rPr>
        <w:t xml:space="preserve">“singed” </w:t>
      </w:r>
      <w:r w:rsidR="009667AD">
        <w:rPr>
          <w:rFonts w:eastAsia="Calibri"/>
          <w:i/>
        </w:rPr>
        <w:t xml:space="preserve">with </w:t>
      </w:r>
      <w:r>
        <w:rPr>
          <w:rFonts w:eastAsia="Calibri"/>
          <w:i/>
        </w:rPr>
        <w:t>“signed.”</w:t>
      </w:r>
    </w:p>
    <w:p w:rsidR="001C2AD2" w:rsidRPr="001C2AD2" w:rsidRDefault="001C2AD2" w:rsidP="001C2AD2">
      <w:pPr>
        <w:ind w:left="720"/>
        <w:rPr>
          <w:rFonts w:eastAsia="Calibri"/>
          <w:i/>
          <w:color w:val="auto"/>
          <w:szCs w:val="24"/>
        </w:rPr>
      </w:pPr>
    </w:p>
    <w:p w:rsidR="001C2AD2" w:rsidRPr="00B66F8B" w:rsidRDefault="004D07E7" w:rsidP="0004292E">
      <w:pPr>
        <w:ind w:left="720"/>
        <w:rPr>
          <w:rFonts w:eastAsia="Calibri"/>
          <w:i/>
        </w:rPr>
      </w:pPr>
      <w:r>
        <w:rPr>
          <w:rFonts w:eastAsia="Calibri"/>
          <w:i/>
        </w:rPr>
        <w:t>In addition, t</w:t>
      </w:r>
      <w:r w:rsidR="001C2AD2" w:rsidRPr="00B66F8B">
        <w:rPr>
          <w:rFonts w:eastAsia="Calibri"/>
          <w:i/>
        </w:rPr>
        <w:t xml:space="preserve">he deletion of Maximus as the destination of the application for initial review is </w:t>
      </w:r>
      <w:r w:rsidR="00846A69" w:rsidRPr="00B66F8B">
        <w:rPr>
          <w:rFonts w:eastAsia="Calibri"/>
          <w:i/>
        </w:rPr>
        <w:t xml:space="preserve">recommended </w:t>
      </w:r>
      <w:r w:rsidR="009667AD">
        <w:rPr>
          <w:rFonts w:eastAsia="Calibri"/>
          <w:i/>
        </w:rPr>
        <w:t>as</w:t>
      </w:r>
      <w:r w:rsidR="001C2AD2" w:rsidRPr="00B66F8B">
        <w:rPr>
          <w:rFonts w:eastAsia="Calibri"/>
          <w:i/>
        </w:rPr>
        <w:t xml:space="preserve"> there is an evident financial conflict of interest as </w:t>
      </w:r>
      <w:r w:rsidR="009667AD">
        <w:rPr>
          <w:rFonts w:eastAsia="Calibri"/>
          <w:i/>
        </w:rPr>
        <w:t>noted also in the introduction to</w:t>
      </w:r>
      <w:r w:rsidR="001C2AD2" w:rsidRPr="00B66F8B">
        <w:rPr>
          <w:rFonts w:eastAsia="Calibri"/>
          <w:i/>
        </w:rPr>
        <w:t xml:space="preserve"> th</w:t>
      </w:r>
      <w:r w:rsidR="009667AD">
        <w:rPr>
          <w:rFonts w:eastAsia="Calibri"/>
          <w:i/>
        </w:rPr>
        <w:t>ese</w:t>
      </w:r>
      <w:r w:rsidR="001C2AD2" w:rsidRPr="00B66F8B">
        <w:rPr>
          <w:rFonts w:eastAsia="Calibri"/>
          <w:i/>
        </w:rPr>
        <w:t xml:space="preserve"> </w:t>
      </w:r>
      <w:r w:rsidR="009667AD">
        <w:rPr>
          <w:rFonts w:eastAsia="Calibri"/>
          <w:i/>
        </w:rPr>
        <w:t>comments</w:t>
      </w:r>
      <w:r w:rsidR="001C2AD2" w:rsidRPr="00B66F8B">
        <w:rPr>
          <w:rFonts w:eastAsia="Calibri"/>
          <w:i/>
        </w:rPr>
        <w:t xml:space="preserve">. </w:t>
      </w:r>
      <w:r w:rsidR="00700EBE" w:rsidRPr="00B66F8B">
        <w:rPr>
          <w:rFonts w:eastAsia="Calibri"/>
          <w:i/>
        </w:rPr>
        <w:t xml:space="preserve"> </w:t>
      </w:r>
      <w:r w:rsidR="001C2AD2" w:rsidRPr="00B66F8B">
        <w:rPr>
          <w:rFonts w:eastAsia="Calibri"/>
          <w:i/>
        </w:rPr>
        <w:t>The Institute believes the application must instead instruct the injured employee to submit the application either directly to the Division of Workers' Compensation or to a designated entity that has no such conflict of interest.</w:t>
      </w:r>
      <w:r w:rsidR="00CB43CD">
        <w:rPr>
          <w:rFonts w:eastAsia="Calibri"/>
          <w:i/>
        </w:rPr>
        <w:t xml:space="preserve"> Doing so will also help </w:t>
      </w:r>
      <w:r w:rsidR="001062FF">
        <w:rPr>
          <w:rFonts w:eastAsia="Calibri"/>
          <w:i/>
        </w:rPr>
        <w:t>reduce the large backlog</w:t>
      </w:r>
      <w:r w:rsidR="00CB43CD">
        <w:rPr>
          <w:rFonts w:eastAsia="Calibri"/>
          <w:i/>
        </w:rPr>
        <w:t xml:space="preserve"> of independent medical reviews.</w:t>
      </w:r>
    </w:p>
    <w:p w:rsidR="001C2AD2" w:rsidRDefault="001C2AD2" w:rsidP="001C2AD2">
      <w:pPr>
        <w:ind w:left="720"/>
        <w:rPr>
          <w:rFonts w:eastAsia="Calibri"/>
          <w:i/>
          <w:color w:val="auto"/>
          <w:szCs w:val="24"/>
        </w:rPr>
      </w:pPr>
    </w:p>
    <w:p w:rsidR="0029521E" w:rsidRPr="0029521E" w:rsidRDefault="0029521E"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 9792.10.3.  Independent Medical Review – Initial Review of Application</w:t>
      </w:r>
    </w:p>
    <w:p w:rsidR="0029521E" w:rsidRPr="0029521E" w:rsidRDefault="0029521E" w:rsidP="0029521E">
      <w:pPr>
        <w:rPr>
          <w:rFonts w:eastAsia="Calibri"/>
          <w:color w:val="auto"/>
          <w:szCs w:val="24"/>
        </w:rPr>
      </w:pPr>
    </w:p>
    <w:p w:rsidR="00EE3EBE" w:rsidRPr="00EE3EBE" w:rsidRDefault="00EE3EBE" w:rsidP="00EE3EBE">
      <w:pPr>
        <w:rPr>
          <w:rFonts w:eastAsia="Calibri"/>
          <w:color w:val="auto"/>
          <w:szCs w:val="24"/>
        </w:rPr>
      </w:pPr>
      <w:r w:rsidRPr="00EE3EBE">
        <w:rPr>
          <w:rFonts w:eastAsia="Calibri"/>
          <w:color w:val="auto"/>
          <w:szCs w:val="24"/>
        </w:rPr>
        <w:t xml:space="preserve">(a) Following receipt of the Application for Independent Medical Review, DWC Form IMR, pursuant to section 9792.10.1(b), the Administrative Director shall determine, within 15 days following receipt of the application and all appropriate information to make a determination, whether the disputed medical treatment identified in the application is eligible for independent medical review.  </w:t>
      </w:r>
      <w:r w:rsidRPr="00EE3EBE">
        <w:rPr>
          <w:rFonts w:eastAsia="Calibri"/>
          <w:color w:val="auto"/>
          <w:szCs w:val="24"/>
          <w:highlight w:val="yellow"/>
          <w:u w:val="single"/>
        </w:rPr>
        <w:t xml:space="preserve">If the Administrative Director assigns a designee to review the eligibility for independent review pursuant to Labor </w:t>
      </w:r>
      <w:r w:rsidRPr="00EE3EBE">
        <w:rPr>
          <w:rFonts w:eastAsia="Calibri"/>
          <w:color w:val="auto"/>
          <w:szCs w:val="24"/>
          <w:highlight w:val="yellow"/>
          <w:u w:val="single"/>
        </w:rPr>
        <w:lastRenderedPageBreak/>
        <w:t>Code section 4610.5(k), the designee shall have no financial interest in the independent medical review.</w:t>
      </w:r>
      <w:r w:rsidRPr="00EE3EBE">
        <w:rPr>
          <w:rFonts w:eastAsia="Calibri"/>
          <w:color w:val="auto"/>
          <w:szCs w:val="24"/>
          <w:u w:val="single"/>
        </w:rPr>
        <w:t xml:space="preserve">  </w:t>
      </w:r>
      <w:r w:rsidRPr="00EE3EBE">
        <w:rPr>
          <w:rFonts w:eastAsia="Calibri"/>
          <w:color w:val="auto"/>
          <w:szCs w:val="24"/>
        </w:rPr>
        <w:t>In making this determination, the Administrative Director shall consider:</w:t>
      </w:r>
    </w:p>
    <w:p w:rsidR="00EE3EBE" w:rsidRPr="00EE3EBE" w:rsidRDefault="00EE3EBE" w:rsidP="00EE3EBE">
      <w:pPr>
        <w:rPr>
          <w:rFonts w:eastAsia="Calibri"/>
          <w:color w:val="auto"/>
          <w:szCs w:val="24"/>
          <w:u w:val="single"/>
        </w:rPr>
      </w:pPr>
    </w:p>
    <w:p w:rsidR="00EE3EBE" w:rsidRPr="00AE4FCD" w:rsidRDefault="00425A93" w:rsidP="00AE4FCD">
      <w:pPr>
        <w:ind w:left="720"/>
        <w:rPr>
          <w:rFonts w:eastAsia="Calibri"/>
          <w:i/>
          <w:color w:val="auto"/>
          <w:szCs w:val="24"/>
        </w:rPr>
      </w:pPr>
      <w:r>
        <w:rPr>
          <w:rFonts w:eastAsia="Calibri"/>
          <w:i/>
          <w:color w:val="auto"/>
          <w:szCs w:val="24"/>
        </w:rPr>
        <w:t>The Institute believes that t</w:t>
      </w:r>
      <w:r w:rsidR="00AE4FCD" w:rsidRPr="00AE4FCD">
        <w:rPr>
          <w:rFonts w:eastAsia="Calibri"/>
          <w:i/>
          <w:color w:val="auto"/>
          <w:szCs w:val="24"/>
        </w:rPr>
        <w:t>he IMR application form must be reviewed for eligibility</w:t>
      </w:r>
      <w:r>
        <w:rPr>
          <w:rFonts w:eastAsia="Calibri"/>
          <w:i/>
          <w:color w:val="auto"/>
          <w:szCs w:val="24"/>
        </w:rPr>
        <w:t xml:space="preserve"> </w:t>
      </w:r>
      <w:r w:rsidR="00AE4FCD" w:rsidRPr="00AE4FCD">
        <w:rPr>
          <w:rFonts w:eastAsia="Calibri"/>
          <w:i/>
          <w:color w:val="auto"/>
          <w:szCs w:val="24"/>
        </w:rPr>
        <w:t xml:space="preserve">by the Administrative Director or her impartial, disinterested designee before being assigned to the IMR contractor, which has a clear financial interest in the review.  Doing so will also </w:t>
      </w:r>
      <w:r w:rsidR="0035593E">
        <w:rPr>
          <w:rFonts w:eastAsia="Calibri"/>
          <w:i/>
          <w:color w:val="auto"/>
          <w:szCs w:val="24"/>
        </w:rPr>
        <w:t xml:space="preserve">reduce the current IMR contractor’s workload which </w:t>
      </w:r>
      <w:r w:rsidR="0047487C">
        <w:rPr>
          <w:rFonts w:eastAsia="Calibri"/>
          <w:i/>
          <w:color w:val="auto"/>
          <w:szCs w:val="24"/>
        </w:rPr>
        <w:t>may</w:t>
      </w:r>
      <w:r w:rsidR="0035593E">
        <w:rPr>
          <w:rFonts w:eastAsia="Calibri"/>
          <w:i/>
          <w:color w:val="auto"/>
          <w:szCs w:val="24"/>
        </w:rPr>
        <w:t xml:space="preserve"> </w:t>
      </w:r>
      <w:r w:rsidR="00AE4FCD" w:rsidRPr="00AE4FCD">
        <w:rPr>
          <w:rFonts w:eastAsia="Calibri"/>
          <w:i/>
          <w:color w:val="auto"/>
          <w:szCs w:val="24"/>
        </w:rPr>
        <w:t xml:space="preserve">help </w:t>
      </w:r>
      <w:r w:rsidR="0047487C">
        <w:rPr>
          <w:rFonts w:eastAsia="Calibri"/>
          <w:i/>
          <w:color w:val="auto"/>
          <w:szCs w:val="24"/>
        </w:rPr>
        <w:t>reduce</w:t>
      </w:r>
      <w:r w:rsidR="00AE4FCD" w:rsidRPr="00AE4FCD">
        <w:rPr>
          <w:rFonts w:eastAsia="Calibri"/>
          <w:i/>
          <w:color w:val="auto"/>
          <w:szCs w:val="24"/>
        </w:rPr>
        <w:t xml:space="preserve"> the large backlog of pending independent medical reviews.  </w:t>
      </w:r>
    </w:p>
    <w:p w:rsidR="00EE3EBE" w:rsidRDefault="00EE3EBE" w:rsidP="00971AD4">
      <w:pPr>
        <w:rPr>
          <w:rFonts w:eastAsia="Calibri"/>
          <w:color w:val="auto"/>
          <w:szCs w:val="24"/>
        </w:rPr>
      </w:pPr>
    </w:p>
    <w:p w:rsidR="00A2699E" w:rsidRPr="00A2699E" w:rsidRDefault="00A2699E" w:rsidP="00A2699E">
      <w:pPr>
        <w:rPr>
          <w:rFonts w:eastAsia="Calibri"/>
          <w:color w:val="auto"/>
          <w:szCs w:val="24"/>
        </w:rPr>
      </w:pPr>
      <w:r w:rsidRPr="00A2699E">
        <w:rPr>
          <w:rFonts w:eastAsia="Calibri"/>
          <w:color w:val="auto"/>
          <w:szCs w:val="24"/>
        </w:rPr>
        <w:t>(a)(3) Any assertion by the claims administrator that a factual</w:t>
      </w:r>
      <w:r w:rsidRPr="00971AD4">
        <w:rPr>
          <w:rFonts w:eastAsia="Calibri"/>
          <w:color w:val="auto"/>
          <w:szCs w:val="24"/>
          <w:highlight w:val="yellow"/>
          <w:u w:val="single"/>
        </w:rPr>
        <w:t>, medical</w:t>
      </w:r>
      <w:r w:rsidRPr="00A2699E">
        <w:rPr>
          <w:rFonts w:eastAsia="Calibri"/>
          <w:color w:val="auto"/>
          <w:szCs w:val="24"/>
        </w:rPr>
        <w:t xml:space="preserve"> or legal basis exists that precludes liability on the part of the claims administrator for an occupational injury or a claimed injury to any part or parts of the body. </w:t>
      </w:r>
    </w:p>
    <w:p w:rsidR="00A2699E" w:rsidRDefault="00A2699E" w:rsidP="00971AD4">
      <w:pPr>
        <w:rPr>
          <w:rFonts w:eastAsia="Calibri"/>
          <w:color w:val="auto"/>
          <w:szCs w:val="24"/>
        </w:rPr>
      </w:pPr>
    </w:p>
    <w:p w:rsidR="00A2699E" w:rsidRPr="00971AD4" w:rsidRDefault="00A2699E" w:rsidP="00A2699E">
      <w:pPr>
        <w:ind w:left="720"/>
        <w:rPr>
          <w:rFonts w:eastAsia="Calibri"/>
          <w:i/>
          <w:color w:val="auto"/>
          <w:szCs w:val="24"/>
        </w:rPr>
      </w:pPr>
      <w:r w:rsidRPr="00971AD4">
        <w:rPr>
          <w:rFonts w:eastAsia="Calibri"/>
          <w:i/>
          <w:color w:val="auto"/>
          <w:szCs w:val="24"/>
        </w:rPr>
        <w:t xml:space="preserve">Liability can be denied based on a medical determination. </w:t>
      </w:r>
    </w:p>
    <w:p w:rsidR="00A2699E" w:rsidRPr="00971AD4" w:rsidRDefault="00A2699E" w:rsidP="00A2699E">
      <w:pPr>
        <w:rPr>
          <w:rFonts w:eastAsia="Calibri"/>
          <w:color w:val="auto"/>
          <w:szCs w:val="24"/>
          <w:u w:val="single"/>
        </w:rPr>
      </w:pPr>
    </w:p>
    <w:p w:rsidR="00971AD4" w:rsidRPr="00971AD4" w:rsidRDefault="00971AD4" w:rsidP="00971AD4">
      <w:pPr>
        <w:rPr>
          <w:rFonts w:eastAsia="Calibri"/>
          <w:color w:val="auto"/>
          <w:szCs w:val="24"/>
        </w:rPr>
      </w:pPr>
      <w:r w:rsidRPr="00971AD4">
        <w:rPr>
          <w:rFonts w:eastAsia="Calibri"/>
          <w:color w:val="auto"/>
          <w:szCs w:val="24"/>
        </w:rPr>
        <w:t>(a)(4) Any assertion by the claims administrator that a factual</w:t>
      </w:r>
      <w:r w:rsidRPr="00971AD4">
        <w:rPr>
          <w:rFonts w:eastAsia="Calibri"/>
          <w:color w:val="auto"/>
          <w:szCs w:val="24"/>
          <w:highlight w:val="yellow"/>
          <w:u w:val="single"/>
        </w:rPr>
        <w:t>, medical</w:t>
      </w:r>
      <w:r w:rsidRPr="00971AD4">
        <w:rPr>
          <w:rFonts w:eastAsia="Calibri"/>
          <w:color w:val="auto"/>
          <w:szCs w:val="24"/>
        </w:rPr>
        <w:t xml:space="preserve"> or legal basis exists that precludes liability on the part of the claims administrator for a specific course of treatment requested by the treating physician. </w:t>
      </w:r>
    </w:p>
    <w:p w:rsidR="00971AD4" w:rsidRPr="00971AD4" w:rsidRDefault="00971AD4" w:rsidP="00971AD4">
      <w:pPr>
        <w:rPr>
          <w:rFonts w:eastAsia="Calibri"/>
          <w:color w:val="auto"/>
          <w:szCs w:val="24"/>
          <w:u w:val="single"/>
        </w:rPr>
      </w:pPr>
    </w:p>
    <w:p w:rsidR="00971AD4" w:rsidRPr="00971AD4" w:rsidRDefault="00971AD4" w:rsidP="00971AD4">
      <w:pPr>
        <w:ind w:left="720"/>
        <w:rPr>
          <w:rFonts w:eastAsia="Calibri"/>
          <w:i/>
          <w:color w:val="auto"/>
          <w:szCs w:val="24"/>
        </w:rPr>
      </w:pPr>
      <w:r w:rsidRPr="00971AD4">
        <w:rPr>
          <w:rFonts w:eastAsia="Calibri"/>
          <w:i/>
          <w:color w:val="auto"/>
          <w:szCs w:val="24"/>
        </w:rPr>
        <w:t xml:space="preserve">Liability can be denied based on a medical determination. </w:t>
      </w:r>
    </w:p>
    <w:p w:rsidR="00971AD4" w:rsidRPr="00971AD4" w:rsidRDefault="00971AD4" w:rsidP="00971AD4">
      <w:pPr>
        <w:rPr>
          <w:rFonts w:eastAsia="Calibri"/>
          <w:color w:val="auto"/>
          <w:szCs w:val="24"/>
          <w:u w:val="single"/>
        </w:rPr>
      </w:pPr>
    </w:p>
    <w:p w:rsidR="00971AD4" w:rsidRPr="00971AD4" w:rsidRDefault="00971AD4" w:rsidP="00971AD4">
      <w:pPr>
        <w:rPr>
          <w:rFonts w:eastAsia="Calibri"/>
          <w:color w:val="auto"/>
          <w:szCs w:val="24"/>
        </w:rPr>
      </w:pPr>
      <w:r w:rsidRPr="00971AD4">
        <w:rPr>
          <w:rFonts w:eastAsia="Calibri"/>
          <w:color w:val="auto"/>
          <w:szCs w:val="24"/>
        </w:rPr>
        <w:t xml:space="preserve">(a)(6) The failure by the requesting physician to respond to a request by the claims administrator under section 9792.9.1(f) for information reasonably necessary to make a utilization review determination, for additional required examinations or tests, or for a specialized consultation.  </w:t>
      </w:r>
    </w:p>
    <w:p w:rsidR="00971AD4" w:rsidRPr="00971AD4" w:rsidRDefault="00971AD4" w:rsidP="00971AD4">
      <w:pPr>
        <w:rPr>
          <w:rFonts w:eastAsia="Calibri"/>
          <w:color w:val="auto"/>
          <w:szCs w:val="24"/>
        </w:rPr>
      </w:pPr>
    </w:p>
    <w:p w:rsidR="00971AD4" w:rsidRDefault="00971AD4" w:rsidP="00971AD4">
      <w:pPr>
        <w:ind w:left="720"/>
        <w:rPr>
          <w:rFonts w:eastAsia="Calibri"/>
          <w:i/>
          <w:color w:val="auto"/>
          <w:szCs w:val="24"/>
        </w:rPr>
      </w:pPr>
      <w:r w:rsidRPr="00971AD4">
        <w:rPr>
          <w:rFonts w:eastAsia="Calibri"/>
          <w:i/>
          <w:color w:val="auto"/>
          <w:szCs w:val="24"/>
        </w:rPr>
        <w:t>The Institute is in full support of this modification. Until the physician provides requested information necessary for a UR determination, an application should not be eligible for IMR,</w:t>
      </w:r>
      <w:r w:rsidRPr="00971AD4">
        <w:rPr>
          <w:rFonts w:eastAsia="Calibri"/>
          <w:b/>
          <w:i/>
          <w:color w:val="auto"/>
          <w:szCs w:val="24"/>
        </w:rPr>
        <w:t xml:space="preserve"> </w:t>
      </w:r>
      <w:r w:rsidRPr="00971AD4">
        <w:rPr>
          <w:rFonts w:eastAsia="Calibri"/>
          <w:i/>
          <w:color w:val="auto"/>
          <w:szCs w:val="24"/>
        </w:rPr>
        <w:t>thereby preventing Independent Review when necessary information is not submitted, preventing end runs around UR when requested information is sent directly to IMR instead of to UR, and eliminating unnecessary IMR costs.</w:t>
      </w:r>
    </w:p>
    <w:p w:rsidR="00971AD4" w:rsidRPr="00971AD4" w:rsidRDefault="00971AD4" w:rsidP="00971AD4">
      <w:pPr>
        <w:ind w:left="720"/>
        <w:rPr>
          <w:rFonts w:eastAsia="Calibri"/>
          <w:i/>
          <w:color w:val="auto"/>
          <w:szCs w:val="24"/>
        </w:rPr>
      </w:pPr>
    </w:p>
    <w:p w:rsidR="003D5087" w:rsidRPr="003D5087" w:rsidRDefault="003D5087" w:rsidP="003D5087">
      <w:pPr>
        <w:rPr>
          <w:rFonts w:eastAsia="Calibri"/>
          <w:color w:val="auto"/>
          <w:szCs w:val="24"/>
        </w:rPr>
      </w:pPr>
      <w:r w:rsidRPr="003D5087">
        <w:rPr>
          <w:rFonts w:eastAsia="Calibri"/>
          <w:color w:val="auto"/>
          <w:szCs w:val="24"/>
        </w:rPr>
        <w:t xml:space="preserve">(c) The parties shall respond to any reasonable request made pursuant to subdivision (b) within </w:t>
      </w:r>
      <w:r w:rsidRPr="003D5087">
        <w:rPr>
          <w:rFonts w:eastAsia="Calibri"/>
          <w:strike/>
          <w:color w:val="auto"/>
          <w:szCs w:val="24"/>
          <w:highlight w:val="yellow"/>
        </w:rPr>
        <w:t>five (5)</w:t>
      </w:r>
      <w:r w:rsidRPr="003D5087">
        <w:rPr>
          <w:rFonts w:eastAsia="Calibri"/>
          <w:color w:val="auto"/>
          <w:szCs w:val="24"/>
          <w:highlight w:val="yellow"/>
        </w:rPr>
        <w:t xml:space="preserve"> </w:t>
      </w:r>
      <w:r w:rsidRPr="003D5087">
        <w:rPr>
          <w:rFonts w:eastAsia="Calibri"/>
          <w:color w:val="auto"/>
          <w:szCs w:val="24"/>
          <w:highlight w:val="yellow"/>
          <w:u w:val="single"/>
        </w:rPr>
        <w:t>fifteen (15)</w:t>
      </w:r>
      <w:r w:rsidRPr="003D5087">
        <w:rPr>
          <w:rFonts w:eastAsia="Calibri"/>
          <w:b/>
          <w:color w:val="auto"/>
          <w:szCs w:val="24"/>
          <w:u w:val="single"/>
        </w:rPr>
        <w:t xml:space="preserve"> </w:t>
      </w:r>
      <w:r w:rsidRPr="003D5087">
        <w:rPr>
          <w:rFonts w:eastAsia="Calibri"/>
          <w:color w:val="auto"/>
          <w:szCs w:val="24"/>
        </w:rPr>
        <w:t xml:space="preserve">days following receipt of the request. Following receipt of all information necessary to make a determination, the Administrative Director shall either immediately inform the parties in writing that a disputed medical treatment is not eligible for independent medical review and the reasons therefor, or assign the request to independent medical review under section 9792.10.4.    </w:t>
      </w:r>
    </w:p>
    <w:p w:rsidR="003D5087" w:rsidRPr="003D5087" w:rsidRDefault="003D5087" w:rsidP="003D5087">
      <w:pPr>
        <w:rPr>
          <w:rFonts w:eastAsia="Calibri"/>
          <w:color w:val="auto"/>
          <w:szCs w:val="24"/>
        </w:rPr>
      </w:pPr>
    </w:p>
    <w:p w:rsidR="003D5087" w:rsidRPr="003D5087" w:rsidRDefault="003D5087" w:rsidP="003D5087">
      <w:pPr>
        <w:ind w:left="720"/>
        <w:rPr>
          <w:rFonts w:eastAsia="Calibri"/>
          <w:i/>
          <w:color w:val="auto"/>
          <w:szCs w:val="24"/>
        </w:rPr>
      </w:pPr>
      <w:r w:rsidRPr="003D5087">
        <w:rPr>
          <w:rFonts w:eastAsia="Calibri"/>
          <w:i/>
          <w:color w:val="auto"/>
          <w:szCs w:val="24"/>
        </w:rPr>
        <w:t xml:space="preserve">The timeframe to respond to the request has been reduced to five days from fifteen.  Five days is an unreasonably short time in which to identify the request, locate and obtain the requested information and to transmit the information to the Administrative Director, particularly if information must be obtained from third parties or disparate locations.  If the Administrative Director must make a </w:t>
      </w:r>
      <w:r w:rsidRPr="003D5087">
        <w:rPr>
          <w:rFonts w:eastAsia="Calibri"/>
          <w:i/>
          <w:color w:val="auto"/>
          <w:szCs w:val="24"/>
        </w:rPr>
        <w:lastRenderedPageBreak/>
        <w:t xml:space="preserve">determination within </w:t>
      </w:r>
      <w:r w:rsidR="00303322">
        <w:rPr>
          <w:rFonts w:eastAsia="Calibri"/>
          <w:i/>
          <w:color w:val="auto"/>
          <w:szCs w:val="24"/>
        </w:rPr>
        <w:t>fifteen</w:t>
      </w:r>
      <w:r w:rsidRPr="003D5087">
        <w:rPr>
          <w:rFonts w:eastAsia="Calibri"/>
          <w:i/>
          <w:color w:val="auto"/>
          <w:szCs w:val="24"/>
        </w:rPr>
        <w:t xml:space="preserve"> days of receipt of the IMR application </w:t>
      </w:r>
      <w:r w:rsidR="00303322">
        <w:rPr>
          <w:rFonts w:eastAsia="Calibri"/>
          <w:i/>
          <w:color w:val="auto"/>
          <w:szCs w:val="24"/>
        </w:rPr>
        <w:t>“</w:t>
      </w:r>
      <w:r w:rsidRPr="001A02E6">
        <w:rPr>
          <w:rFonts w:eastAsia="Calibri"/>
          <w:i/>
          <w:color w:val="auto"/>
          <w:szCs w:val="24"/>
          <w:u w:val="single"/>
        </w:rPr>
        <w:t>and all appropriate information to make a determination</w:t>
      </w:r>
      <w:r w:rsidRPr="003D5087">
        <w:rPr>
          <w:rFonts w:eastAsia="Calibri"/>
          <w:i/>
          <w:color w:val="auto"/>
          <w:szCs w:val="24"/>
        </w:rPr>
        <w:t>,</w:t>
      </w:r>
      <w:r w:rsidR="00303322">
        <w:rPr>
          <w:rFonts w:eastAsia="Calibri"/>
          <w:i/>
          <w:color w:val="auto"/>
          <w:szCs w:val="24"/>
        </w:rPr>
        <w:t>”</w:t>
      </w:r>
      <w:r w:rsidRPr="003D5087">
        <w:rPr>
          <w:rFonts w:eastAsia="Calibri"/>
          <w:i/>
          <w:color w:val="auto"/>
          <w:szCs w:val="24"/>
        </w:rPr>
        <w:t xml:space="preserve"> as </w:t>
      </w:r>
      <w:r w:rsidR="000F57E0">
        <w:rPr>
          <w:rFonts w:eastAsia="Calibri"/>
          <w:i/>
          <w:color w:val="auto"/>
          <w:szCs w:val="24"/>
        </w:rPr>
        <w:t xml:space="preserve">now </w:t>
      </w:r>
      <w:r w:rsidRPr="003D5087">
        <w:rPr>
          <w:rFonts w:eastAsia="Calibri"/>
          <w:i/>
          <w:color w:val="auto"/>
          <w:szCs w:val="24"/>
        </w:rPr>
        <w:t>proposed in sub-section (a)</w:t>
      </w:r>
      <w:r w:rsidR="00C22312">
        <w:rPr>
          <w:rFonts w:eastAsia="Calibri"/>
          <w:i/>
          <w:color w:val="auto"/>
          <w:szCs w:val="24"/>
        </w:rPr>
        <w:t>,</w:t>
      </w:r>
      <w:r w:rsidRPr="003D5087">
        <w:rPr>
          <w:rFonts w:eastAsia="Calibri"/>
          <w:i/>
          <w:color w:val="auto"/>
          <w:szCs w:val="24"/>
        </w:rPr>
        <w:t xml:space="preserve"> the Institute recommends restoring the </w:t>
      </w:r>
      <w:r w:rsidR="001A02E6">
        <w:rPr>
          <w:rFonts w:eastAsia="Calibri"/>
          <w:i/>
          <w:color w:val="auto"/>
          <w:szCs w:val="24"/>
        </w:rPr>
        <w:t>fifteen</w:t>
      </w:r>
      <w:r w:rsidR="00C22312">
        <w:rPr>
          <w:rFonts w:eastAsia="Calibri"/>
          <w:i/>
          <w:color w:val="auto"/>
          <w:szCs w:val="24"/>
        </w:rPr>
        <w:t xml:space="preserve">-day </w:t>
      </w:r>
      <w:r w:rsidRPr="003D5087">
        <w:rPr>
          <w:rFonts w:eastAsia="Calibri"/>
          <w:i/>
          <w:color w:val="auto"/>
          <w:szCs w:val="24"/>
        </w:rPr>
        <w:t>time</w:t>
      </w:r>
      <w:r w:rsidR="00C22312">
        <w:rPr>
          <w:rFonts w:eastAsia="Calibri"/>
          <w:i/>
          <w:color w:val="auto"/>
          <w:szCs w:val="24"/>
        </w:rPr>
        <w:t>frame</w:t>
      </w:r>
      <w:r w:rsidRPr="003D5087">
        <w:rPr>
          <w:rFonts w:eastAsia="Calibri"/>
          <w:i/>
          <w:color w:val="auto"/>
          <w:szCs w:val="24"/>
        </w:rPr>
        <w:t xml:space="preserve"> in which parties must respond.  If</w:t>
      </w:r>
      <w:r w:rsidR="000F57E0">
        <w:rPr>
          <w:rFonts w:eastAsia="Calibri"/>
          <w:i/>
          <w:color w:val="auto"/>
          <w:szCs w:val="24"/>
        </w:rPr>
        <w:t xml:space="preserve"> however</w:t>
      </w:r>
      <w:r w:rsidRPr="003D5087">
        <w:rPr>
          <w:rFonts w:eastAsia="Calibri"/>
          <w:i/>
          <w:color w:val="auto"/>
          <w:szCs w:val="24"/>
        </w:rPr>
        <w:t xml:space="preserve"> the Administrative Director must make a determination within </w:t>
      </w:r>
      <w:r w:rsidR="001A02E6">
        <w:rPr>
          <w:rFonts w:eastAsia="Calibri"/>
          <w:i/>
          <w:color w:val="auto"/>
          <w:szCs w:val="24"/>
        </w:rPr>
        <w:t>fifteen</w:t>
      </w:r>
      <w:r w:rsidRPr="003D5087">
        <w:rPr>
          <w:rFonts w:eastAsia="Calibri"/>
          <w:i/>
          <w:color w:val="auto"/>
          <w:szCs w:val="24"/>
        </w:rPr>
        <w:t xml:space="preserve"> days of receipt of the IMR application</w:t>
      </w:r>
      <w:r w:rsidR="001A02E6">
        <w:rPr>
          <w:rFonts w:eastAsia="Calibri"/>
          <w:i/>
          <w:color w:val="auto"/>
          <w:szCs w:val="24"/>
        </w:rPr>
        <w:t xml:space="preserve"> (regardless of the date</w:t>
      </w:r>
      <w:r w:rsidR="00932CAD">
        <w:rPr>
          <w:rFonts w:eastAsia="Calibri"/>
          <w:i/>
          <w:color w:val="auto"/>
          <w:szCs w:val="24"/>
        </w:rPr>
        <w:t xml:space="preserve"> “all appropriate information to make a determination” is received)</w:t>
      </w:r>
      <w:r w:rsidRPr="003D5087">
        <w:rPr>
          <w:rFonts w:eastAsia="Calibri"/>
          <w:i/>
          <w:color w:val="auto"/>
          <w:szCs w:val="24"/>
        </w:rPr>
        <w:t xml:space="preserve">, the Institute recommends </w:t>
      </w:r>
      <w:r w:rsidR="000047A3">
        <w:rPr>
          <w:rFonts w:eastAsia="Calibri"/>
          <w:i/>
          <w:color w:val="auto"/>
          <w:szCs w:val="24"/>
        </w:rPr>
        <w:t xml:space="preserve">instead </w:t>
      </w:r>
      <w:r w:rsidRPr="003D5087">
        <w:rPr>
          <w:rFonts w:eastAsia="Calibri"/>
          <w:i/>
          <w:color w:val="auto"/>
          <w:szCs w:val="24"/>
        </w:rPr>
        <w:t xml:space="preserve">allowing ten days for parties to respond.   </w:t>
      </w:r>
    </w:p>
    <w:p w:rsidR="003D5087" w:rsidRPr="003D5087" w:rsidRDefault="003D5087" w:rsidP="003D5087">
      <w:pPr>
        <w:rPr>
          <w:rFonts w:eastAsia="Calibri"/>
          <w:color w:val="auto"/>
          <w:szCs w:val="24"/>
          <w:u w:val="single"/>
        </w:rPr>
      </w:pPr>
    </w:p>
    <w:p w:rsidR="003D5087" w:rsidRPr="003D5087" w:rsidRDefault="003D5087" w:rsidP="003D5087">
      <w:pPr>
        <w:rPr>
          <w:szCs w:val="24"/>
          <w:shd w:val="clear" w:color="auto" w:fill="FFFFFF"/>
        </w:rPr>
      </w:pPr>
      <w:r w:rsidRPr="003D5087">
        <w:rPr>
          <w:rFonts w:eastAsia="Calibri"/>
          <w:color w:val="auto"/>
          <w:szCs w:val="24"/>
        </w:rPr>
        <w:t xml:space="preserve">(e) The parties may appeal an eligibility determination by the Administrative Director </w:t>
      </w:r>
      <w:r w:rsidRPr="003D5087">
        <w:rPr>
          <w:rFonts w:eastAsia="Calibri"/>
          <w:strike/>
          <w:color w:val="auto"/>
          <w:szCs w:val="24"/>
          <w:highlight w:val="yellow"/>
        </w:rPr>
        <w:t>that a disputed medical treatment is not eligible for independent medical review</w:t>
      </w:r>
      <w:r w:rsidRPr="003D5087">
        <w:rPr>
          <w:rFonts w:eastAsia="Calibri"/>
          <w:strike/>
          <w:color w:val="auto"/>
          <w:szCs w:val="24"/>
        </w:rPr>
        <w:t xml:space="preserve"> </w:t>
      </w:r>
      <w:r w:rsidRPr="003D5087">
        <w:rPr>
          <w:rFonts w:eastAsia="Calibri"/>
          <w:color w:val="auto"/>
          <w:szCs w:val="24"/>
        </w:rPr>
        <w:t xml:space="preserve">by filing </w:t>
      </w:r>
      <w:r w:rsidRPr="003D5087">
        <w:rPr>
          <w:szCs w:val="24"/>
          <w:shd w:val="clear" w:color="auto" w:fill="FFFFFF"/>
        </w:rPr>
        <w:t xml:space="preserve">a petition with the </w:t>
      </w:r>
      <w:r w:rsidRPr="003D5087">
        <w:rPr>
          <w:szCs w:val="24"/>
        </w:rPr>
        <w:t>Workers' Compensation Appeals Board</w:t>
      </w:r>
      <w:r w:rsidRPr="003D5087">
        <w:rPr>
          <w:szCs w:val="24"/>
          <w:shd w:val="clear" w:color="auto" w:fill="FFFFFF"/>
        </w:rPr>
        <w:t xml:space="preserve">. </w:t>
      </w:r>
    </w:p>
    <w:p w:rsidR="003D5087" w:rsidRPr="003D5087" w:rsidRDefault="003D5087" w:rsidP="003D5087">
      <w:pPr>
        <w:rPr>
          <w:rFonts w:eastAsia="Calibri"/>
          <w:color w:val="auto"/>
          <w:szCs w:val="24"/>
        </w:rPr>
      </w:pPr>
    </w:p>
    <w:p w:rsidR="009E16BD" w:rsidRDefault="003D5087" w:rsidP="003D5087">
      <w:pPr>
        <w:ind w:left="720"/>
        <w:rPr>
          <w:rFonts w:eastAsia="Calibri"/>
          <w:i/>
          <w:color w:val="auto"/>
          <w:szCs w:val="24"/>
        </w:rPr>
      </w:pPr>
      <w:r w:rsidRPr="003D5087">
        <w:rPr>
          <w:rFonts w:eastAsia="Calibri"/>
          <w:i/>
          <w:color w:val="auto"/>
          <w:szCs w:val="24"/>
        </w:rPr>
        <w:t>Parties must be</w:t>
      </w:r>
      <w:r w:rsidR="009E16BD">
        <w:rPr>
          <w:rFonts w:eastAsia="Calibri"/>
          <w:i/>
          <w:color w:val="auto"/>
          <w:szCs w:val="24"/>
        </w:rPr>
        <w:t xml:space="preserve"> able to appeal a determination that a disputed medical treatment is either not eligible or is eligible.</w:t>
      </w:r>
    </w:p>
    <w:p w:rsidR="00971AD4" w:rsidRPr="00971AD4" w:rsidRDefault="009E16BD" w:rsidP="003D5087">
      <w:pPr>
        <w:ind w:left="720"/>
        <w:rPr>
          <w:rFonts w:eastAsia="Calibri"/>
          <w:i/>
          <w:color w:val="auto"/>
          <w:szCs w:val="24"/>
        </w:rPr>
      </w:pPr>
      <w:r>
        <w:rPr>
          <w:rFonts w:eastAsia="Calibri"/>
          <w:i/>
          <w:color w:val="auto"/>
          <w:szCs w:val="24"/>
        </w:rPr>
        <w:t xml:space="preserve">  </w:t>
      </w:r>
    </w:p>
    <w:p w:rsidR="0029521E" w:rsidRPr="0029521E" w:rsidRDefault="0029521E"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 9792.10.4.  Independent Medical Review –  Assignment and Notification</w:t>
      </w:r>
    </w:p>
    <w:p w:rsidR="0029521E" w:rsidRPr="0029521E" w:rsidRDefault="0029521E" w:rsidP="0029521E">
      <w:pPr>
        <w:rPr>
          <w:rFonts w:eastAsia="Calibri"/>
          <w:color w:val="auto"/>
          <w:szCs w:val="24"/>
        </w:rPr>
      </w:pPr>
    </w:p>
    <w:p w:rsidR="00A3204E" w:rsidRPr="00A3204E" w:rsidRDefault="00A3204E" w:rsidP="00A3204E">
      <w:pPr>
        <w:rPr>
          <w:rFonts w:eastAsia="Calibri"/>
          <w:color w:val="auto"/>
          <w:szCs w:val="24"/>
        </w:rPr>
      </w:pPr>
      <w:r w:rsidRPr="00A3204E">
        <w:rPr>
          <w:rFonts w:eastAsia="Calibri"/>
          <w:color w:val="auto"/>
          <w:szCs w:val="24"/>
        </w:rPr>
        <w:t xml:space="preserve">(a) The independent review organization delegated the responsibility by the Administrative Director to conduct independent medical review pursuant to Labor Code section 139.5 (IMRO) may consolidate two or more eligible applications for independent medical review by a single employee for resolution in a single determination if the applications involve the </w:t>
      </w:r>
      <w:r w:rsidRPr="00A3204E">
        <w:rPr>
          <w:rFonts w:eastAsia="Calibri"/>
          <w:strike/>
          <w:color w:val="auto"/>
          <w:szCs w:val="24"/>
          <w:highlight w:val="yellow"/>
        </w:rPr>
        <w:t>the</w:t>
      </w:r>
      <w:r w:rsidRPr="00A3204E">
        <w:rPr>
          <w:rFonts w:eastAsia="Calibri"/>
          <w:color w:val="auto"/>
          <w:szCs w:val="24"/>
        </w:rPr>
        <w:t xml:space="preserve"> same requesting physician and the same date of injury.   </w:t>
      </w:r>
    </w:p>
    <w:p w:rsidR="00A3204E" w:rsidRPr="00A3204E" w:rsidRDefault="00A3204E" w:rsidP="00A3204E">
      <w:pPr>
        <w:rPr>
          <w:rFonts w:eastAsia="Calibri"/>
          <w:color w:val="auto"/>
          <w:szCs w:val="24"/>
        </w:rPr>
      </w:pPr>
    </w:p>
    <w:p w:rsidR="00A3204E" w:rsidRPr="00A3204E" w:rsidRDefault="00A3204E" w:rsidP="00A3204E">
      <w:pPr>
        <w:ind w:left="720"/>
        <w:rPr>
          <w:rFonts w:eastAsia="Calibri"/>
          <w:i/>
          <w:color w:val="auto"/>
          <w:szCs w:val="24"/>
        </w:rPr>
      </w:pPr>
      <w:r w:rsidRPr="00A3204E">
        <w:rPr>
          <w:rFonts w:eastAsia="Calibri"/>
          <w:i/>
          <w:color w:val="auto"/>
          <w:szCs w:val="24"/>
        </w:rPr>
        <w:t xml:space="preserve">The Institute supports the consolidation of requests by the same physician for treatment of the same injured employee for the same date of injury.  Individual requests for treatment that </w:t>
      </w:r>
      <w:r w:rsidR="003909AB">
        <w:rPr>
          <w:rFonts w:eastAsia="Calibri"/>
          <w:i/>
          <w:color w:val="auto"/>
          <w:szCs w:val="24"/>
        </w:rPr>
        <w:t>are --</w:t>
      </w:r>
      <w:r w:rsidRPr="00A3204E">
        <w:rPr>
          <w:rFonts w:eastAsia="Calibri"/>
          <w:i/>
          <w:color w:val="auto"/>
          <w:szCs w:val="24"/>
        </w:rPr>
        <w:t xml:space="preserve"> or should be </w:t>
      </w:r>
      <w:r w:rsidR="003909AB">
        <w:rPr>
          <w:rFonts w:eastAsia="Calibri"/>
          <w:i/>
          <w:color w:val="auto"/>
          <w:szCs w:val="24"/>
        </w:rPr>
        <w:t xml:space="preserve">-- </w:t>
      </w:r>
      <w:r w:rsidRPr="00A3204E">
        <w:rPr>
          <w:rFonts w:eastAsia="Calibri"/>
          <w:i/>
          <w:color w:val="auto"/>
          <w:szCs w:val="24"/>
        </w:rPr>
        <w:t>part of the same treatment plan should be considered together.  The medical necessity of an individual service or good is dependent on the other services and goods that are also requested.</w:t>
      </w:r>
    </w:p>
    <w:p w:rsidR="00A3204E" w:rsidRPr="00A3204E" w:rsidRDefault="00A3204E" w:rsidP="00A3204E">
      <w:pPr>
        <w:rPr>
          <w:rFonts w:eastAsia="Calibri"/>
          <w:color w:val="auto"/>
          <w:szCs w:val="24"/>
          <w:u w:val="single"/>
        </w:rPr>
      </w:pPr>
    </w:p>
    <w:p w:rsidR="00A3204E" w:rsidRPr="00A3204E" w:rsidRDefault="00A3204E" w:rsidP="00A3204E">
      <w:pPr>
        <w:rPr>
          <w:rFonts w:eastAsia="Calibri"/>
          <w:color w:val="auto"/>
          <w:szCs w:val="24"/>
        </w:rPr>
      </w:pPr>
      <w:r w:rsidRPr="004541CE">
        <w:rPr>
          <w:rFonts w:eastAsia="Calibri"/>
          <w:color w:val="auto"/>
          <w:szCs w:val="24"/>
        </w:rPr>
        <w:t>(c)</w:t>
      </w:r>
      <w:r w:rsidRPr="00A3204E">
        <w:rPr>
          <w:rFonts w:eastAsia="Calibri"/>
          <w:b/>
          <w:color w:val="auto"/>
          <w:szCs w:val="24"/>
        </w:rPr>
        <w:t xml:space="preserve"> </w:t>
      </w:r>
      <w:r w:rsidRPr="00A3204E">
        <w:rPr>
          <w:rFonts w:eastAsia="Calibri"/>
          <w:color w:val="auto"/>
          <w:szCs w:val="24"/>
        </w:rPr>
        <w:t>Review conducted on a regular basis shall be converted into an expedited review if, subsequent to the receipt of the Application for Independent Medical Review, DWC Form IMR, the independent review organization receives from the employee’s treating physician a certification that the employee faces an imminent and serious threat to his or her health as described in section 9792.</w:t>
      </w:r>
      <w:r w:rsidRPr="00A3204E">
        <w:rPr>
          <w:rFonts w:eastAsia="Calibri"/>
          <w:strike/>
          <w:color w:val="auto"/>
          <w:szCs w:val="24"/>
          <w:highlight w:val="yellow"/>
        </w:rPr>
        <w:t>10.</w:t>
      </w:r>
      <w:r w:rsidRPr="00A3204E">
        <w:rPr>
          <w:rFonts w:eastAsia="Calibri"/>
          <w:color w:val="auto"/>
          <w:szCs w:val="24"/>
        </w:rPr>
        <w:t>6.1(j).  The independent review organization shall immediately notify the parties by the most efficient means available that the review has been converted from a regular review to an expedited review.</w:t>
      </w:r>
    </w:p>
    <w:p w:rsidR="00A3204E" w:rsidRPr="00A3204E" w:rsidRDefault="00A3204E" w:rsidP="00A3204E">
      <w:pPr>
        <w:rPr>
          <w:szCs w:val="24"/>
          <w:u w:val="single"/>
        </w:rPr>
      </w:pPr>
    </w:p>
    <w:p w:rsidR="00F14511" w:rsidRPr="0029521E" w:rsidRDefault="00F14511" w:rsidP="00F14511">
      <w:pPr>
        <w:ind w:left="720"/>
        <w:rPr>
          <w:i/>
          <w:szCs w:val="24"/>
        </w:rPr>
      </w:pPr>
      <w:r w:rsidRPr="0029521E">
        <w:rPr>
          <w:i/>
          <w:szCs w:val="24"/>
        </w:rPr>
        <w:t>There is no section 9792.10.6.1(j).  This is likely just a typographical error and the section intended is 9792.6.1(j).</w:t>
      </w:r>
    </w:p>
    <w:p w:rsidR="00A3204E" w:rsidRPr="00A3204E" w:rsidRDefault="00A3204E" w:rsidP="00A3204E">
      <w:pPr>
        <w:rPr>
          <w:szCs w:val="24"/>
          <w:u w:val="single"/>
        </w:rPr>
      </w:pPr>
    </w:p>
    <w:p w:rsidR="0029521E" w:rsidRPr="0029521E" w:rsidRDefault="0029521E" w:rsidP="0029521E">
      <w:pPr>
        <w:rPr>
          <w:szCs w:val="24"/>
        </w:rPr>
      </w:pPr>
      <w:r w:rsidRPr="0029521E">
        <w:rPr>
          <w:szCs w:val="24"/>
        </w:rPr>
        <w:t xml:space="preserve"> </w:t>
      </w:r>
    </w:p>
    <w:p w:rsidR="0029521E" w:rsidRPr="0029521E" w:rsidRDefault="0029521E" w:rsidP="0029521E">
      <w:pPr>
        <w:rPr>
          <w:rFonts w:eastAsia="Calibri"/>
          <w:b/>
          <w:color w:val="auto"/>
          <w:szCs w:val="24"/>
        </w:rPr>
      </w:pPr>
      <w:r w:rsidRPr="0029521E">
        <w:rPr>
          <w:rFonts w:eastAsia="Calibri"/>
          <w:b/>
          <w:color w:val="auto"/>
          <w:szCs w:val="24"/>
        </w:rPr>
        <w:t xml:space="preserve">§ 9792.10.5.  Independent Medical Review – Medical Records  </w:t>
      </w:r>
    </w:p>
    <w:p w:rsidR="0029521E" w:rsidRPr="0029521E" w:rsidRDefault="0029521E" w:rsidP="0029521E">
      <w:pPr>
        <w:rPr>
          <w:rFonts w:eastAsia="Calibri"/>
          <w:color w:val="auto"/>
          <w:szCs w:val="24"/>
        </w:rPr>
      </w:pPr>
    </w:p>
    <w:p w:rsidR="00E45FFB" w:rsidRPr="00E45FFB" w:rsidRDefault="00E45FFB" w:rsidP="00E45FFB">
      <w:pPr>
        <w:rPr>
          <w:rFonts w:eastAsia="Calibri"/>
          <w:color w:val="auto"/>
          <w:szCs w:val="24"/>
        </w:rPr>
      </w:pPr>
      <w:r w:rsidRPr="00E45FFB">
        <w:rPr>
          <w:rFonts w:eastAsia="Calibri"/>
          <w:color w:val="auto"/>
          <w:szCs w:val="24"/>
        </w:rPr>
        <w:t xml:space="preserve">(a)(1)(B)  A copy of </w:t>
      </w:r>
      <w:r w:rsidRPr="00E45FFB">
        <w:rPr>
          <w:rFonts w:eastAsia="Calibri"/>
          <w:strike/>
          <w:color w:val="auto"/>
          <w:szCs w:val="24"/>
          <w:highlight w:val="yellow"/>
        </w:rPr>
        <w:t>the written determination by the claims administrator issued under section 9792.9.1(e)(5) that notified the employee and the requesting physician that the disputed medical treatment was denied, delayed or modified. The copy should not include</w:t>
      </w:r>
      <w:r w:rsidRPr="00E45FFB">
        <w:rPr>
          <w:rFonts w:eastAsia="Calibri"/>
          <w:color w:val="auto"/>
          <w:szCs w:val="24"/>
        </w:rPr>
        <w:t xml:space="preserve"> </w:t>
      </w:r>
      <w:r w:rsidRPr="00E45FFB">
        <w:rPr>
          <w:rFonts w:eastAsia="Calibri"/>
          <w:color w:val="auto"/>
          <w:szCs w:val="24"/>
        </w:rPr>
        <w:lastRenderedPageBreak/>
        <w:t>the application for independent medical review included with the determination</w:t>
      </w:r>
      <w:r w:rsidRPr="00E45FFB">
        <w:rPr>
          <w:rFonts w:eastAsia="Calibri"/>
          <w:b/>
          <w:color w:val="auto"/>
          <w:szCs w:val="24"/>
        </w:rPr>
        <w:t xml:space="preserve"> </w:t>
      </w:r>
      <w:r w:rsidRPr="00E45FFB">
        <w:rPr>
          <w:rFonts w:eastAsia="Calibri"/>
          <w:color w:val="auto"/>
          <w:szCs w:val="24"/>
          <w:highlight w:val="yellow"/>
          <w:u w:val="single"/>
        </w:rPr>
        <w:t>pursuant to sections 9792.10.1(b) and 9792.10.2 .  The</w:t>
      </w:r>
      <w:r w:rsidRPr="00E45FFB">
        <w:rPr>
          <w:rFonts w:eastAsia="Calibri"/>
          <w:color w:val="auto"/>
          <w:szCs w:val="24"/>
          <w:u w:val="single"/>
        </w:rPr>
        <w:t xml:space="preserve"> </w:t>
      </w:r>
      <w:r w:rsidRPr="00E45FFB">
        <w:rPr>
          <w:rFonts w:eastAsia="Calibri"/>
          <w:color w:val="auto"/>
          <w:szCs w:val="24"/>
        </w:rPr>
        <w:t>application’s instructions</w:t>
      </w:r>
      <w:r w:rsidRPr="00E45FFB">
        <w:rPr>
          <w:rFonts w:eastAsia="Calibri"/>
          <w:color w:val="auto"/>
          <w:szCs w:val="24"/>
          <w:u w:val="single"/>
        </w:rPr>
        <w:t xml:space="preserve"> </w:t>
      </w:r>
      <w:r w:rsidRPr="00E45FFB">
        <w:rPr>
          <w:rFonts w:eastAsia="Calibri"/>
          <w:color w:val="auto"/>
          <w:szCs w:val="24"/>
          <w:highlight w:val="yellow"/>
          <w:u w:val="single"/>
        </w:rPr>
        <w:t>may be excluded</w:t>
      </w:r>
      <w:r w:rsidRPr="00E45FFB">
        <w:rPr>
          <w:rFonts w:eastAsia="Calibri"/>
          <w:color w:val="auto"/>
          <w:szCs w:val="24"/>
        </w:rPr>
        <w:t>.</w:t>
      </w:r>
    </w:p>
    <w:p w:rsidR="00E45FFB" w:rsidRPr="00E45FFB" w:rsidRDefault="00E45FFB" w:rsidP="00E45FFB">
      <w:pPr>
        <w:rPr>
          <w:rFonts w:eastAsia="Calibri"/>
          <w:color w:val="auto"/>
          <w:szCs w:val="24"/>
          <w:u w:val="single"/>
        </w:rPr>
      </w:pPr>
    </w:p>
    <w:p w:rsidR="00E45FFB" w:rsidRPr="00E45FFB" w:rsidRDefault="00E45FFB" w:rsidP="00E45FFB">
      <w:pPr>
        <w:ind w:left="720"/>
        <w:rPr>
          <w:rFonts w:eastAsia="Calibri"/>
          <w:i/>
          <w:color w:val="auto"/>
          <w:szCs w:val="24"/>
        </w:rPr>
      </w:pPr>
      <w:r w:rsidRPr="00E45FFB">
        <w:rPr>
          <w:rFonts w:eastAsia="Calibri"/>
          <w:i/>
          <w:color w:val="auto"/>
          <w:szCs w:val="24"/>
        </w:rPr>
        <w:t xml:space="preserve">An application for IMR is ineligible if it is not submitted with the written determination issued by the claims administrator or reviewer pursuant to 9792.9.1(e)(5).  If IMR is found eligible and is assigned for independent medical review, the IMRO is already in receipt of the determination and another copy is not necessary.  </w:t>
      </w:r>
    </w:p>
    <w:p w:rsidR="00E45FFB" w:rsidRPr="00E45FFB" w:rsidRDefault="00E45FFB" w:rsidP="00E45FFB">
      <w:pPr>
        <w:ind w:left="720"/>
        <w:rPr>
          <w:rFonts w:eastAsia="Calibri"/>
          <w:i/>
          <w:color w:val="auto"/>
          <w:szCs w:val="24"/>
        </w:rPr>
      </w:pPr>
    </w:p>
    <w:p w:rsidR="00E45FFB" w:rsidRPr="00E45FFB" w:rsidRDefault="00E45FFB" w:rsidP="00E45FFB">
      <w:pPr>
        <w:ind w:left="720"/>
        <w:rPr>
          <w:rFonts w:eastAsia="Calibri"/>
          <w:i/>
          <w:color w:val="auto"/>
          <w:szCs w:val="24"/>
        </w:rPr>
      </w:pPr>
      <w:r w:rsidRPr="00E45FFB">
        <w:rPr>
          <w:rFonts w:eastAsia="Calibri"/>
          <w:i/>
          <w:color w:val="auto"/>
          <w:szCs w:val="24"/>
        </w:rPr>
        <w:t xml:space="preserve">Even though the IMR application form instructions prohibit any changes to the application, many applications have been, and continue to be altered.  We therefore, suggest including the original application in the package of documents that go to the IMRO so that the reviewer has the required information.  This requirement may also discourage the practice of altering the application. </w:t>
      </w:r>
    </w:p>
    <w:p w:rsidR="00E45FFB" w:rsidRPr="00E45FFB" w:rsidRDefault="00E45FFB" w:rsidP="00E45FFB">
      <w:pPr>
        <w:rPr>
          <w:rFonts w:eastAsia="Calibri"/>
          <w:color w:val="auto"/>
        </w:rPr>
      </w:pPr>
      <w:r w:rsidRPr="00E45FFB">
        <w:rPr>
          <w:rFonts w:eastAsia="Calibri"/>
          <w:color w:val="auto"/>
          <w:szCs w:val="24"/>
          <w:u w:val="single"/>
        </w:rPr>
        <w:br/>
      </w:r>
      <w:r w:rsidRPr="00E45FFB">
        <w:rPr>
          <w:rFonts w:eastAsia="Calibri"/>
          <w:color w:val="auto"/>
          <w:szCs w:val="24"/>
        </w:rPr>
        <w:t xml:space="preserve">(a)(2) The claims administrator shall, concurrent with the provision of documents under subdivision (a), forward to the employee or the employee’s representative a notification that lists all of the documents submitted to the independent review organization under subdivision (a).  </w:t>
      </w:r>
      <w:r w:rsidRPr="00E45FFB">
        <w:rPr>
          <w:rFonts w:eastAsia="Calibri"/>
          <w:strike/>
          <w:color w:val="auto"/>
          <w:szCs w:val="24"/>
          <w:highlight w:val="yellow"/>
        </w:rPr>
        <w:t xml:space="preserve">The claims administrator shall provide with the notification a copy of all documents that were not previously provided to the employee or the employee’s representative, excluding mental health records withheld from the employee pursuant to Health and Safety Code section 123115(b). </w:t>
      </w:r>
      <w:r w:rsidRPr="00E45FFB">
        <w:rPr>
          <w:rFonts w:eastAsia="Calibri"/>
          <w:color w:val="auto"/>
          <w:highlight w:val="yellow"/>
          <w:u w:val="single"/>
        </w:rPr>
        <w:t>If any of the documents have not been previously served on the employee or the employee’s representative and the employee or the employee’s representative requests a copy of a report on the list, the claims administrator shall forward a copy of the requested report to the employee or the employee’s representative.  If mental health records are withheld from the employee pursuant to Health and Safety Code section 123115(b) the claims administrator shall advise the employee in writing upon receipt of a request from the employee for a copy of a record being withheld pursuant to Health and Safety Code section 123115(b).</w:t>
      </w:r>
      <w:r w:rsidRPr="00E45FFB">
        <w:rPr>
          <w:rFonts w:eastAsia="Calibri"/>
          <w:color w:val="auto"/>
        </w:rPr>
        <w:t xml:space="preserve">  </w:t>
      </w:r>
    </w:p>
    <w:p w:rsidR="00E45FFB" w:rsidRPr="00E45FFB" w:rsidRDefault="00E45FFB" w:rsidP="00E45FFB">
      <w:pPr>
        <w:rPr>
          <w:rFonts w:eastAsia="Calibri"/>
          <w:strike/>
          <w:color w:val="auto"/>
          <w:szCs w:val="24"/>
        </w:rPr>
      </w:pPr>
    </w:p>
    <w:p w:rsidR="00E45FFB" w:rsidRPr="00E45FFB" w:rsidRDefault="00E45FFB" w:rsidP="00E45FFB">
      <w:pPr>
        <w:ind w:left="720"/>
        <w:rPr>
          <w:rFonts w:eastAsia="Calibri"/>
          <w:i/>
          <w:color w:val="auto"/>
          <w:szCs w:val="24"/>
        </w:rPr>
      </w:pPr>
      <w:r w:rsidRPr="00E45FFB">
        <w:rPr>
          <w:rFonts w:eastAsia="Calibri"/>
          <w:i/>
          <w:color w:val="auto"/>
          <w:szCs w:val="24"/>
        </w:rPr>
        <w:t>Filtering out mental health records will create administrative problems and costs.  We recommend requiring instead that an itemization of the medical records be served on the employee and their representative with a notice that the employee or the employee’s representative may request to be served with any report on the list if they advise the claims administrator that they do not have a copy of it in their possession.  Mental health records would be excluded from the requirement of service on the employee</w:t>
      </w:r>
      <w:r w:rsidR="00DC2048">
        <w:rPr>
          <w:rFonts w:eastAsia="Calibri"/>
          <w:i/>
          <w:color w:val="auto"/>
          <w:szCs w:val="24"/>
        </w:rPr>
        <w:t>,</w:t>
      </w:r>
      <w:r w:rsidRPr="00E45FFB">
        <w:rPr>
          <w:rFonts w:eastAsia="Calibri"/>
          <w:i/>
          <w:color w:val="auto"/>
          <w:szCs w:val="24"/>
        </w:rPr>
        <w:t xml:space="preserve"> but a response outlining the reason that the reports can’t be served on the employee would be required in the event tha</w:t>
      </w:r>
      <w:r w:rsidR="00703CEC">
        <w:rPr>
          <w:rFonts w:eastAsia="Calibri"/>
          <w:i/>
          <w:color w:val="auto"/>
          <w:szCs w:val="24"/>
        </w:rPr>
        <w:t>t</w:t>
      </w:r>
      <w:r w:rsidRPr="00E45FFB">
        <w:rPr>
          <w:rFonts w:eastAsia="Calibri"/>
          <w:i/>
          <w:color w:val="auto"/>
          <w:szCs w:val="24"/>
        </w:rPr>
        <w:t xml:space="preserve"> an employee requested those records.  </w:t>
      </w:r>
    </w:p>
    <w:p w:rsidR="0029521E" w:rsidRDefault="0029521E" w:rsidP="0029521E">
      <w:pPr>
        <w:rPr>
          <w:rFonts w:eastAsia="Calibri"/>
          <w:b/>
          <w:color w:val="auto"/>
          <w:szCs w:val="24"/>
        </w:rPr>
      </w:pPr>
    </w:p>
    <w:p w:rsidR="00E45FFB" w:rsidRPr="0029521E" w:rsidRDefault="00E45FFB" w:rsidP="0029521E">
      <w:pPr>
        <w:rPr>
          <w:rFonts w:eastAsia="Calibri"/>
          <w:b/>
          <w:color w:val="auto"/>
          <w:szCs w:val="24"/>
        </w:rPr>
      </w:pPr>
    </w:p>
    <w:p w:rsidR="0029521E" w:rsidRPr="0029521E" w:rsidRDefault="0029521E" w:rsidP="0029521E">
      <w:pPr>
        <w:rPr>
          <w:rFonts w:eastAsia="Calibri"/>
          <w:b/>
          <w:color w:val="auto"/>
          <w:szCs w:val="24"/>
        </w:rPr>
      </w:pPr>
      <w:r w:rsidRPr="0029521E">
        <w:rPr>
          <w:rFonts w:eastAsia="Calibri"/>
          <w:b/>
          <w:color w:val="auto"/>
          <w:szCs w:val="24"/>
        </w:rPr>
        <w:t>§ 9792.10.6.  Independent Medical Review – Standards and Timeframes</w:t>
      </w:r>
    </w:p>
    <w:p w:rsidR="0029521E" w:rsidRPr="0029521E" w:rsidRDefault="0029521E" w:rsidP="0029521E">
      <w:pPr>
        <w:rPr>
          <w:rFonts w:eastAsia="Calibri"/>
          <w:color w:val="auto"/>
          <w:szCs w:val="24"/>
        </w:rPr>
      </w:pPr>
    </w:p>
    <w:p w:rsidR="0029521E" w:rsidRPr="0029521E" w:rsidRDefault="0029521E" w:rsidP="0029521E">
      <w:pPr>
        <w:rPr>
          <w:rFonts w:eastAsia="Calibri"/>
          <w:color w:val="auto"/>
          <w:szCs w:val="24"/>
        </w:rPr>
      </w:pPr>
      <w:r w:rsidRPr="0029521E">
        <w:rPr>
          <w:rFonts w:eastAsia="Calibri"/>
          <w:color w:val="auto"/>
          <w:szCs w:val="24"/>
        </w:rPr>
        <w:t xml:space="preserve">(d) The determination issued by the medical reviewer shall state whether the disputed medical treatment is medically necessary. The determination shall include the employee’s medical condition, a list of the documents reviewed, a statement of the disputed medical treatment, references to the </w:t>
      </w:r>
      <w:r w:rsidRPr="0029521E">
        <w:rPr>
          <w:rFonts w:eastAsia="Calibri"/>
          <w:color w:val="auto"/>
          <w:szCs w:val="24"/>
          <w:highlight w:val="yellow"/>
          <w:u w:val="single"/>
        </w:rPr>
        <w:t>Medical Treatment Utilization Schedule and</w:t>
      </w:r>
      <w:r w:rsidRPr="0029521E">
        <w:rPr>
          <w:rFonts w:eastAsia="Calibri"/>
          <w:color w:val="auto"/>
          <w:szCs w:val="24"/>
          <w:u w:val="single"/>
        </w:rPr>
        <w:t xml:space="preserve"> </w:t>
      </w:r>
      <w:r w:rsidRPr="0029521E">
        <w:rPr>
          <w:rFonts w:eastAsia="Calibri"/>
          <w:color w:val="auto"/>
          <w:szCs w:val="24"/>
        </w:rPr>
        <w:t xml:space="preserve">specific medical </w:t>
      </w:r>
      <w:r w:rsidRPr="0029521E">
        <w:rPr>
          <w:rFonts w:eastAsia="Calibri"/>
          <w:color w:val="auto"/>
          <w:szCs w:val="24"/>
        </w:rPr>
        <w:lastRenderedPageBreak/>
        <w:t>and scientific evidence utilized</w:t>
      </w:r>
      <w:r w:rsidRPr="00961A3B">
        <w:rPr>
          <w:rFonts w:eastAsia="Calibri"/>
          <w:color w:val="auto"/>
          <w:szCs w:val="24"/>
          <w:u w:val="single"/>
        </w:rPr>
        <w:t xml:space="preserve"> </w:t>
      </w:r>
      <w:r w:rsidRPr="00961A3B">
        <w:rPr>
          <w:rFonts w:eastAsia="Calibri"/>
          <w:color w:val="auto"/>
          <w:szCs w:val="24"/>
          <w:highlight w:val="yellow"/>
          <w:u w:val="single"/>
        </w:rPr>
        <w:t>pursuant to section 9792.6.1(r)</w:t>
      </w:r>
      <w:r w:rsidRPr="0029521E">
        <w:rPr>
          <w:rFonts w:eastAsia="Calibri"/>
          <w:color w:val="auto"/>
          <w:szCs w:val="24"/>
        </w:rPr>
        <w:t xml:space="preserve">, and the clinical reasons regarding medical necessity.   </w:t>
      </w:r>
    </w:p>
    <w:p w:rsidR="0029521E" w:rsidRPr="0029521E" w:rsidRDefault="0029521E" w:rsidP="0029521E">
      <w:pPr>
        <w:rPr>
          <w:rFonts w:eastAsia="Calibri"/>
          <w:color w:val="auto"/>
          <w:szCs w:val="24"/>
        </w:rPr>
      </w:pPr>
    </w:p>
    <w:p w:rsidR="0029521E" w:rsidRDefault="0029521E" w:rsidP="0029521E">
      <w:pPr>
        <w:ind w:left="720"/>
        <w:rPr>
          <w:rFonts w:eastAsia="Calibri"/>
          <w:i/>
          <w:color w:val="auto"/>
          <w:szCs w:val="24"/>
        </w:rPr>
      </w:pPr>
      <w:r w:rsidRPr="0029521E">
        <w:rPr>
          <w:rFonts w:eastAsia="Calibri"/>
          <w:i/>
          <w:color w:val="auto"/>
          <w:szCs w:val="24"/>
        </w:rPr>
        <w:t>Labor Code section 4610.5(c)</w:t>
      </w:r>
      <w:r w:rsidRPr="0029521E">
        <w:rPr>
          <w:rFonts w:eastAsia="Calibri"/>
          <w:i/>
          <w:color w:val="auto"/>
          <w:szCs w:val="24"/>
        </w:rPr>
        <w:tab/>
        <w:t xml:space="preserve">(2) requires the MTUS to be applied and relied on unless it is inapplicable to the employee’s medical condition.  The determination must reference the Medical Treatment Utilization Schedule (MTUS) because it is the highest ranked standard, and if the MTUS is inapplicable to the employee’s medical condition, the report should reference the reason it is inapplicable. </w:t>
      </w:r>
    </w:p>
    <w:p w:rsidR="00961A3B" w:rsidRDefault="00961A3B" w:rsidP="0029521E">
      <w:pPr>
        <w:ind w:left="720"/>
        <w:rPr>
          <w:rFonts w:eastAsia="Calibri"/>
          <w:i/>
          <w:color w:val="auto"/>
          <w:szCs w:val="24"/>
        </w:rPr>
      </w:pPr>
    </w:p>
    <w:p w:rsidR="00961A3B" w:rsidRPr="0029521E" w:rsidRDefault="00961A3B" w:rsidP="0029521E">
      <w:pPr>
        <w:ind w:left="720"/>
        <w:rPr>
          <w:rFonts w:eastAsia="Calibri"/>
          <w:i/>
          <w:color w:val="auto"/>
          <w:szCs w:val="24"/>
        </w:rPr>
      </w:pPr>
      <w:r>
        <w:rPr>
          <w:rFonts w:eastAsia="Calibri"/>
          <w:i/>
          <w:color w:val="auto"/>
          <w:szCs w:val="24"/>
        </w:rPr>
        <w:t xml:space="preserve">If </w:t>
      </w:r>
      <w:r w:rsidR="007F1D34">
        <w:rPr>
          <w:rFonts w:eastAsia="Calibri"/>
          <w:i/>
          <w:color w:val="auto"/>
          <w:szCs w:val="24"/>
        </w:rPr>
        <w:t>t</w:t>
      </w:r>
      <w:r>
        <w:rPr>
          <w:rFonts w:eastAsia="Calibri"/>
          <w:i/>
          <w:color w:val="auto"/>
          <w:szCs w:val="24"/>
        </w:rPr>
        <w:t xml:space="preserve">he Institute’s recommendation to restore a modified definition for </w:t>
      </w:r>
      <w:r w:rsidR="007F1D34" w:rsidRPr="007F1D34">
        <w:rPr>
          <w:rFonts w:eastAsia="Calibri"/>
          <w:i/>
          <w:color w:val="auto"/>
          <w:szCs w:val="24"/>
        </w:rPr>
        <w:t>“</w:t>
      </w:r>
      <w:r w:rsidR="007F1D34">
        <w:rPr>
          <w:rFonts w:eastAsia="Calibri"/>
          <w:i/>
          <w:color w:val="auto"/>
          <w:szCs w:val="24"/>
        </w:rPr>
        <w:t>m</w:t>
      </w:r>
      <w:r w:rsidR="007F1D34" w:rsidRPr="007F1D34">
        <w:rPr>
          <w:rFonts w:eastAsia="Calibri"/>
          <w:i/>
          <w:color w:val="auto"/>
          <w:szCs w:val="24"/>
        </w:rPr>
        <w:t>edically necessary” and “medical necessity”</w:t>
      </w:r>
      <w:r w:rsidR="007F1D34">
        <w:rPr>
          <w:rFonts w:eastAsia="Calibri"/>
          <w:i/>
          <w:color w:val="auto"/>
          <w:szCs w:val="24"/>
        </w:rPr>
        <w:t xml:space="preserve"> is accepted, we recommend </w:t>
      </w:r>
      <w:r w:rsidR="00151ED0">
        <w:rPr>
          <w:rFonts w:eastAsia="Calibri"/>
          <w:i/>
          <w:color w:val="auto"/>
          <w:szCs w:val="24"/>
        </w:rPr>
        <w:t xml:space="preserve">restoring the reference to section 9792.6.1(r) regarding the standards </w:t>
      </w:r>
      <w:r w:rsidR="00036DE1">
        <w:rPr>
          <w:rFonts w:eastAsia="Calibri"/>
          <w:i/>
          <w:color w:val="auto"/>
          <w:szCs w:val="24"/>
        </w:rPr>
        <w:t xml:space="preserve">that </w:t>
      </w:r>
      <w:r w:rsidR="00151ED0">
        <w:rPr>
          <w:rFonts w:eastAsia="Calibri"/>
          <w:i/>
          <w:color w:val="auto"/>
          <w:szCs w:val="24"/>
        </w:rPr>
        <w:t xml:space="preserve">the independent medical reviewer must use.  </w:t>
      </w:r>
      <w:r w:rsidR="00DB1720">
        <w:rPr>
          <w:rFonts w:eastAsia="Calibri"/>
          <w:i/>
          <w:color w:val="auto"/>
          <w:szCs w:val="24"/>
        </w:rPr>
        <w:t>As we note in the introduction, and in comments on section 9792.6.1, t</w:t>
      </w:r>
      <w:r w:rsidR="00151ED0">
        <w:rPr>
          <w:rFonts w:eastAsia="Calibri"/>
          <w:i/>
          <w:color w:val="auto"/>
          <w:szCs w:val="24"/>
        </w:rPr>
        <w:t>he Institute firmly believes that</w:t>
      </w:r>
      <w:r w:rsidR="00AA0616">
        <w:rPr>
          <w:rFonts w:eastAsia="Calibri"/>
          <w:i/>
          <w:color w:val="auto"/>
          <w:szCs w:val="24"/>
        </w:rPr>
        <w:t xml:space="preserve"> the standards must be </w:t>
      </w:r>
      <w:r w:rsidR="00DB1720" w:rsidRPr="00DB1720">
        <w:rPr>
          <w:rFonts w:eastAsia="Calibri"/>
          <w:i/>
          <w:color w:val="auto"/>
          <w:szCs w:val="24"/>
        </w:rPr>
        <w:t>supported by medical evidence that is peer-reviewed and nationally recognized</w:t>
      </w:r>
      <w:r w:rsidR="00DB1720">
        <w:rPr>
          <w:rFonts w:eastAsia="Calibri"/>
          <w:i/>
          <w:color w:val="auto"/>
          <w:szCs w:val="24"/>
        </w:rPr>
        <w:t>.</w:t>
      </w:r>
    </w:p>
    <w:p w:rsidR="00562A5A" w:rsidRDefault="00562A5A" w:rsidP="00577821">
      <w:pPr>
        <w:rPr>
          <w:rFonts w:ascii="Arial" w:hAnsi="Arial" w:cs="Arial"/>
          <w:sz w:val="22"/>
          <w:szCs w:val="22"/>
        </w:rPr>
      </w:pPr>
    </w:p>
    <w:p w:rsidR="001F37BA" w:rsidRDefault="001F37BA" w:rsidP="001F37BA">
      <w:pPr>
        <w:rPr>
          <w:rFonts w:cstheme="minorHAnsi"/>
          <w:u w:val="single"/>
        </w:rPr>
      </w:pPr>
      <w:r w:rsidRPr="00721205">
        <w:rPr>
          <w:rFonts w:cstheme="minorHAnsi"/>
        </w:rPr>
        <w:t>(i) Upon receipt of credible information that the claims administrator has failed to comply with its obligations under the independent medical review requirements set forth in Labor Code sections 4610.5 or in sections 9792.6 through 9792.10.8 of this Article, the Administrative Director shall</w:t>
      </w:r>
      <w:r w:rsidRPr="003C16F2">
        <w:rPr>
          <w:rFonts w:cstheme="minorHAnsi"/>
          <w:strike/>
          <w:highlight w:val="yellow"/>
        </w:rPr>
        <w:t>, concurrent or subsequent to the issuance of the final determination issued by the independent review organization, issue an order to show cause  under section 9792.15 for the assessment of  administrative penalties against the claims administrator under section 9792.12(c)</w:t>
      </w:r>
      <w:r w:rsidRPr="003C16F2">
        <w:rPr>
          <w:rFonts w:cstheme="minorHAnsi"/>
          <w:highlight w:val="yellow"/>
        </w:rPr>
        <w:t xml:space="preserve"> </w:t>
      </w:r>
      <w:r w:rsidRPr="003C16F2">
        <w:rPr>
          <w:rFonts w:cstheme="minorHAnsi"/>
          <w:highlight w:val="yellow"/>
          <w:u w:val="single"/>
        </w:rPr>
        <w:t>send complete documentation to the audit unit for review and assessment of appropriate administrative penalties when the claims administrator undergoes its next regularly scheduled “PAR” or “non-random” audit.</w:t>
      </w:r>
      <w:r w:rsidRPr="00721205">
        <w:rPr>
          <w:rFonts w:cstheme="minorHAnsi"/>
          <w:u w:val="single"/>
        </w:rPr>
        <w:t xml:space="preserve"> </w:t>
      </w:r>
    </w:p>
    <w:p w:rsidR="001F37BA" w:rsidRPr="00721205" w:rsidRDefault="001F37BA" w:rsidP="001F37BA">
      <w:pPr>
        <w:rPr>
          <w:rFonts w:cstheme="minorHAnsi"/>
          <w:color w:val="1F497D"/>
        </w:rPr>
      </w:pPr>
    </w:p>
    <w:p w:rsidR="001F37BA" w:rsidRDefault="001F37BA" w:rsidP="001F37BA">
      <w:pPr>
        <w:ind w:left="720"/>
        <w:rPr>
          <w:rFonts w:cstheme="minorHAnsi"/>
          <w:i/>
        </w:rPr>
      </w:pPr>
      <w:r w:rsidRPr="00FA1F76">
        <w:rPr>
          <w:rFonts w:cstheme="minorHAnsi"/>
          <w:i/>
        </w:rPr>
        <w:t>It is unnecessary, duplicative and overly punitive to conduct a separate summary proceeding for a claims administrator’s</w:t>
      </w:r>
      <w:r w:rsidRPr="00FA1F76">
        <w:rPr>
          <w:rFonts w:cstheme="minorHAnsi"/>
          <w:i/>
          <w:color w:val="FF0000"/>
        </w:rPr>
        <w:t xml:space="preserve"> </w:t>
      </w:r>
      <w:r w:rsidRPr="00FA1F76">
        <w:rPr>
          <w:rFonts w:cstheme="minorHAnsi"/>
          <w:i/>
        </w:rPr>
        <w:t>alleged failure to c</w:t>
      </w:r>
      <w:r>
        <w:rPr>
          <w:rFonts w:cstheme="minorHAnsi"/>
          <w:i/>
        </w:rPr>
        <w:t>omply with the IMR requirements</w:t>
      </w:r>
      <w:r w:rsidRPr="00FA1F76">
        <w:rPr>
          <w:rFonts w:cstheme="minorHAnsi"/>
          <w:i/>
        </w:rPr>
        <w:t xml:space="preserve"> </w:t>
      </w:r>
      <w:r>
        <w:rPr>
          <w:rFonts w:cstheme="minorHAnsi"/>
          <w:i/>
        </w:rPr>
        <w:t>because a</w:t>
      </w:r>
      <w:r w:rsidRPr="00FA1F76">
        <w:rPr>
          <w:rFonts w:cstheme="minorHAnsi"/>
          <w:i/>
        </w:rPr>
        <w:t xml:space="preserve">udit and penalty schedules already exist to deter noncompliance.  Adding this </w:t>
      </w:r>
      <w:r>
        <w:rPr>
          <w:rFonts w:cstheme="minorHAnsi"/>
          <w:i/>
        </w:rPr>
        <w:t xml:space="preserve">separate summary </w:t>
      </w:r>
      <w:r w:rsidRPr="00FA1F76">
        <w:rPr>
          <w:rFonts w:cstheme="minorHAnsi"/>
          <w:i/>
        </w:rPr>
        <w:t xml:space="preserve">proceeding will amount to </w:t>
      </w:r>
      <w:r>
        <w:rPr>
          <w:rFonts w:cstheme="minorHAnsi"/>
          <w:i/>
        </w:rPr>
        <w:t xml:space="preserve">a </w:t>
      </w:r>
      <w:r w:rsidRPr="00FA1F76">
        <w:rPr>
          <w:rFonts w:cstheme="minorHAnsi"/>
          <w:i/>
        </w:rPr>
        <w:t xml:space="preserve">piling-on of penalties for the same act.  </w:t>
      </w:r>
      <w:r w:rsidR="00E1094A">
        <w:rPr>
          <w:rFonts w:cstheme="minorHAnsi"/>
          <w:i/>
        </w:rPr>
        <w:t>In</w:t>
      </w:r>
      <w:r w:rsidRPr="00FA1F76">
        <w:rPr>
          <w:rFonts w:cstheme="minorHAnsi"/>
          <w:i/>
        </w:rPr>
        <w:t xml:space="preserve"> instances where a credible complaint is made against a claims administrator, the complaint should be logged in the claims administrator’s file and investigated during the subsequent PAR or targeted audit per 9792.11(c)(2)(A)(B). </w:t>
      </w:r>
    </w:p>
    <w:p w:rsidR="00E1094A" w:rsidRDefault="00E1094A" w:rsidP="001F37BA">
      <w:pPr>
        <w:ind w:left="720"/>
        <w:rPr>
          <w:rFonts w:cstheme="minorHAnsi"/>
          <w:i/>
        </w:rPr>
      </w:pPr>
    </w:p>
    <w:p w:rsidR="00D26E87" w:rsidRDefault="00D26E87" w:rsidP="001F37BA">
      <w:pPr>
        <w:ind w:left="720"/>
        <w:rPr>
          <w:rFonts w:cstheme="minorHAnsi"/>
          <w:i/>
        </w:rPr>
      </w:pPr>
    </w:p>
    <w:p w:rsidR="008D0B04" w:rsidRDefault="008D0B04" w:rsidP="008D0B04">
      <w:pPr>
        <w:jc w:val="both"/>
        <w:rPr>
          <w:rFonts w:cstheme="minorHAnsi"/>
          <w:b/>
          <w:u w:val="single"/>
        </w:rPr>
      </w:pPr>
      <w:r w:rsidRPr="00721205">
        <w:rPr>
          <w:rFonts w:cstheme="minorHAnsi"/>
          <w:b/>
          <w:u w:val="single"/>
        </w:rPr>
        <w:t>§ 9792.10.7.  Independent Medical Review – Implementation of Determination and Appeal.</w:t>
      </w:r>
    </w:p>
    <w:p w:rsidR="008D0B04" w:rsidRPr="00721205" w:rsidRDefault="008D0B04" w:rsidP="008D0B04">
      <w:pPr>
        <w:jc w:val="both"/>
        <w:rPr>
          <w:rFonts w:cstheme="minorHAnsi"/>
          <w:b/>
          <w:u w:val="single"/>
        </w:rPr>
      </w:pPr>
    </w:p>
    <w:p w:rsidR="008D0B04" w:rsidRDefault="008D0B04" w:rsidP="008D0B04">
      <w:pPr>
        <w:rPr>
          <w:rFonts w:cstheme="minorHAnsi"/>
          <w:u w:val="single"/>
        </w:rPr>
      </w:pPr>
      <w:r w:rsidRPr="00721205">
        <w:rPr>
          <w:rFonts w:cstheme="minorHAnsi"/>
        </w:rPr>
        <w:t xml:space="preserve">(b) Upon  receipt of credible information that the claims administrator has failed to implement the final determination as required in subdivision (a), the Administrative Director shall </w:t>
      </w:r>
      <w:r w:rsidRPr="00FA1F76">
        <w:rPr>
          <w:rFonts w:cstheme="minorHAnsi"/>
          <w:strike/>
          <w:highlight w:val="yellow"/>
        </w:rPr>
        <w:t>issue an order to show cause  under section 9792.15 for the assessment of  administrative penalties against the claims administrator under section 9792.12(c)</w:t>
      </w:r>
      <w:r w:rsidRPr="00FA1F76">
        <w:rPr>
          <w:rFonts w:cstheme="minorHAnsi"/>
          <w:b/>
          <w:highlight w:val="yellow"/>
        </w:rPr>
        <w:t xml:space="preserve"> </w:t>
      </w:r>
      <w:r w:rsidRPr="00FA1F76">
        <w:rPr>
          <w:rFonts w:cstheme="minorHAnsi"/>
          <w:highlight w:val="yellow"/>
          <w:u w:val="single"/>
        </w:rPr>
        <w:t>send complete documentation to the audit unit for review and assessment of appropriate administrative penalties when the claims administrator undergoes its next regularly scheduled “PAR” or “non-random” audit.</w:t>
      </w:r>
      <w:r w:rsidRPr="00721205">
        <w:rPr>
          <w:rFonts w:cstheme="minorHAnsi"/>
          <w:u w:val="single"/>
        </w:rPr>
        <w:t xml:space="preserve"> </w:t>
      </w:r>
    </w:p>
    <w:p w:rsidR="008D0B04" w:rsidRPr="00721205" w:rsidRDefault="008D0B04" w:rsidP="008D0B04">
      <w:pPr>
        <w:rPr>
          <w:rFonts w:cstheme="minorHAnsi"/>
          <w:color w:val="1F497D"/>
        </w:rPr>
      </w:pPr>
    </w:p>
    <w:p w:rsidR="008D0B04" w:rsidRPr="00FA1F76" w:rsidRDefault="008D0B04" w:rsidP="008D0B04">
      <w:pPr>
        <w:ind w:left="720"/>
        <w:rPr>
          <w:rFonts w:cstheme="minorHAnsi"/>
          <w:i/>
        </w:rPr>
      </w:pPr>
      <w:r w:rsidRPr="00FA1F76">
        <w:rPr>
          <w:rFonts w:cstheme="minorHAnsi"/>
          <w:i/>
        </w:rPr>
        <w:lastRenderedPageBreak/>
        <w:t>It is unnecessary, duplicative and overly punitive to conduct a separate summary proceeding for a claims administrator’s</w:t>
      </w:r>
      <w:r w:rsidRPr="00FA1F76">
        <w:rPr>
          <w:rFonts w:cstheme="minorHAnsi"/>
          <w:i/>
          <w:color w:val="FF0000"/>
        </w:rPr>
        <w:t xml:space="preserve"> </w:t>
      </w:r>
      <w:r w:rsidRPr="00FA1F76">
        <w:rPr>
          <w:rFonts w:cstheme="minorHAnsi"/>
          <w:i/>
        </w:rPr>
        <w:t>alleged failure to c</w:t>
      </w:r>
      <w:r>
        <w:rPr>
          <w:rFonts w:cstheme="minorHAnsi"/>
          <w:i/>
        </w:rPr>
        <w:t>omply with the IMR requirements because a</w:t>
      </w:r>
      <w:r w:rsidRPr="00FA1F76">
        <w:rPr>
          <w:rFonts w:cstheme="minorHAnsi"/>
          <w:i/>
        </w:rPr>
        <w:t xml:space="preserve">udit and penalty schedules already exist to deter noncompliance.  Adding this proceeding will amount to </w:t>
      </w:r>
      <w:r>
        <w:rPr>
          <w:rFonts w:cstheme="minorHAnsi"/>
          <w:i/>
        </w:rPr>
        <w:t xml:space="preserve">a </w:t>
      </w:r>
      <w:r w:rsidRPr="00FA1F76">
        <w:rPr>
          <w:rFonts w:cstheme="minorHAnsi"/>
          <w:i/>
        </w:rPr>
        <w:t xml:space="preserve">piling-on of penalties for the same act.  </w:t>
      </w:r>
      <w:r w:rsidR="00E5608D">
        <w:rPr>
          <w:rFonts w:cstheme="minorHAnsi"/>
          <w:i/>
        </w:rPr>
        <w:t>I</w:t>
      </w:r>
      <w:r w:rsidRPr="00FA1F76">
        <w:rPr>
          <w:rFonts w:cstheme="minorHAnsi"/>
          <w:i/>
        </w:rPr>
        <w:t xml:space="preserve">n instances where a credible complaint is made against a claims administrator, the complaint should be logged in the claims administrator’s file and investigated during the subsequent PAR or targeted audit per 9792.11(c)(2)(A)(B). </w:t>
      </w:r>
    </w:p>
    <w:p w:rsidR="008D0B04" w:rsidRDefault="008D0B04" w:rsidP="008D0B04">
      <w:pPr>
        <w:ind w:left="720"/>
        <w:jc w:val="both"/>
        <w:rPr>
          <w:rFonts w:cstheme="minorHAnsi"/>
        </w:rPr>
      </w:pPr>
    </w:p>
    <w:p w:rsidR="00D26E87" w:rsidRPr="00721205" w:rsidRDefault="00D26E87" w:rsidP="008D0B04">
      <w:pPr>
        <w:ind w:left="720"/>
        <w:jc w:val="both"/>
        <w:rPr>
          <w:rFonts w:cstheme="minorHAnsi"/>
        </w:rPr>
      </w:pPr>
    </w:p>
    <w:p w:rsidR="008D0B04" w:rsidRDefault="008D0B04" w:rsidP="008D0B04">
      <w:pPr>
        <w:jc w:val="both"/>
        <w:rPr>
          <w:rFonts w:cstheme="minorHAnsi"/>
          <w:b/>
          <w:u w:val="single"/>
        </w:rPr>
      </w:pPr>
      <w:r w:rsidRPr="00721205">
        <w:rPr>
          <w:rFonts w:cstheme="minorHAnsi"/>
          <w:b/>
          <w:u w:val="single"/>
        </w:rPr>
        <w:t>§ 9792.10.8.  Independent Medical Review – Payment for Review</w:t>
      </w:r>
    </w:p>
    <w:p w:rsidR="008D0B04" w:rsidRPr="00721205" w:rsidRDefault="008D0B04" w:rsidP="00D26E87">
      <w:pPr>
        <w:rPr>
          <w:rFonts w:cstheme="minorHAnsi"/>
          <w:b/>
          <w:u w:val="single"/>
        </w:rPr>
      </w:pPr>
    </w:p>
    <w:p w:rsidR="008D0B04" w:rsidRDefault="008D0B04" w:rsidP="00D26E87">
      <w:pPr>
        <w:rPr>
          <w:rFonts w:cstheme="minorHAnsi"/>
        </w:rPr>
      </w:pPr>
      <w:r w:rsidRPr="00721205">
        <w:rPr>
          <w:rFonts w:cstheme="minorHAnsi"/>
        </w:rPr>
        <w:t xml:space="preserve">(c) The aggregate total fee owed by the claims administrator for the prior calendar month shall be paid to the independent medical review organization within </w:t>
      </w:r>
      <w:r w:rsidRPr="00FA1F76">
        <w:rPr>
          <w:rFonts w:cstheme="minorHAnsi"/>
          <w:strike/>
          <w:highlight w:val="yellow"/>
        </w:rPr>
        <w:t>thirty (30)</w:t>
      </w:r>
      <w:r w:rsidRPr="00FA1F76">
        <w:rPr>
          <w:rFonts w:cstheme="minorHAnsi"/>
          <w:highlight w:val="yellow"/>
        </w:rPr>
        <w:t xml:space="preserve"> </w:t>
      </w:r>
      <w:r w:rsidRPr="00FA1F76">
        <w:rPr>
          <w:rFonts w:cstheme="minorHAnsi"/>
          <w:highlight w:val="yellow"/>
          <w:u w:val="single"/>
        </w:rPr>
        <w:t>forty-five (45)</w:t>
      </w:r>
      <w:r w:rsidRPr="00721205">
        <w:rPr>
          <w:rFonts w:cstheme="minorHAnsi"/>
        </w:rPr>
        <w:t xml:space="preserve"> days of the billing.  If the aggregate total fee is not paid within ten (10) days after it becomes due, there shall be added an additional amount equal to 10 percent, plus interest at the legal rate, which shall be paid at the same time but in addition to the total aggregate fee.   </w:t>
      </w:r>
    </w:p>
    <w:p w:rsidR="008D0B04" w:rsidRPr="00721205" w:rsidRDefault="008D0B04" w:rsidP="00D26E87">
      <w:pPr>
        <w:rPr>
          <w:rFonts w:cstheme="minorHAnsi"/>
        </w:rPr>
      </w:pPr>
    </w:p>
    <w:p w:rsidR="008D0B04" w:rsidRPr="00FA1F76" w:rsidRDefault="008D0B04" w:rsidP="00D26E87">
      <w:pPr>
        <w:ind w:left="720"/>
        <w:rPr>
          <w:rFonts w:cstheme="minorHAnsi"/>
          <w:i/>
        </w:rPr>
      </w:pPr>
      <w:r w:rsidRPr="00FA1F76">
        <w:rPr>
          <w:rFonts w:cstheme="minorHAnsi"/>
          <w:i/>
        </w:rPr>
        <w:t xml:space="preserve">The timeframe for payments to the independent medical review organization should be consistent with payments to providers under Labor Code section 4603.2.  We suggest extending the timeframe in this section to forty-five days. </w:t>
      </w:r>
    </w:p>
    <w:p w:rsidR="008D0B04" w:rsidRDefault="008D0B04" w:rsidP="00D26E87">
      <w:pPr>
        <w:ind w:left="720"/>
        <w:rPr>
          <w:rFonts w:cstheme="minorHAnsi"/>
        </w:rPr>
      </w:pPr>
    </w:p>
    <w:p w:rsidR="00D26E87" w:rsidRPr="00721205" w:rsidRDefault="00D26E87" w:rsidP="00D26E87">
      <w:pPr>
        <w:ind w:left="720"/>
        <w:rPr>
          <w:rFonts w:cstheme="minorHAnsi"/>
        </w:rPr>
      </w:pPr>
    </w:p>
    <w:p w:rsidR="008D0B04" w:rsidRDefault="008D0B04" w:rsidP="00D26E87">
      <w:pPr>
        <w:rPr>
          <w:rFonts w:cstheme="minorHAnsi"/>
          <w:b/>
          <w:u w:val="single"/>
        </w:rPr>
      </w:pPr>
      <w:r w:rsidRPr="00721205">
        <w:rPr>
          <w:rFonts w:cstheme="minorHAnsi"/>
          <w:b/>
          <w:u w:val="single"/>
        </w:rPr>
        <w:t>§ 9792.12.  Administrative Penalty Schedule for Utilization Review and Independent Medical Review Violations</w:t>
      </w:r>
    </w:p>
    <w:p w:rsidR="008D0B04" w:rsidRPr="00721205" w:rsidRDefault="008D0B04" w:rsidP="00D26E87">
      <w:pPr>
        <w:rPr>
          <w:rFonts w:cstheme="minorHAnsi"/>
          <w:u w:val="single"/>
        </w:rPr>
      </w:pPr>
    </w:p>
    <w:p w:rsidR="008D0B04" w:rsidRPr="00721205" w:rsidRDefault="008D0B04" w:rsidP="00D26E87">
      <w:pPr>
        <w:rPr>
          <w:rFonts w:cstheme="minorHAnsi"/>
        </w:rPr>
      </w:pPr>
      <w:r w:rsidRPr="00721205">
        <w:rPr>
          <w:rFonts w:cstheme="minorHAnsi"/>
        </w:rPr>
        <w:t xml:space="preserve">(a)(12) For failure to respond to a complete DWC Form RFA </w:t>
      </w:r>
      <w:r w:rsidRPr="00FA1F76">
        <w:rPr>
          <w:rFonts w:cstheme="minorHAnsi"/>
          <w:strike/>
          <w:highlight w:val="yellow"/>
        </w:rPr>
        <w:t>or other request for authorization accepted  by a claims administrator under section 9792.9.1(c)(2) submitted</w:t>
      </w:r>
      <w:r w:rsidRPr="00721205">
        <w:rPr>
          <w:rFonts w:cstheme="minorHAnsi"/>
        </w:rPr>
        <w:t xml:space="preserve"> by the injured employee's requesting treating physician, in the case of a non-expedited concurrent review: $ 2,000;</w:t>
      </w:r>
      <w:r w:rsidRPr="00721205">
        <w:rPr>
          <w:rFonts w:cstheme="minorHAnsi"/>
        </w:rPr>
        <w:br/>
      </w:r>
    </w:p>
    <w:p w:rsidR="008D0B04" w:rsidRDefault="008D0B04" w:rsidP="00D26E87">
      <w:pPr>
        <w:rPr>
          <w:rFonts w:cstheme="minorHAnsi"/>
        </w:rPr>
      </w:pPr>
      <w:r w:rsidRPr="00721205">
        <w:rPr>
          <w:rFonts w:cstheme="minorHAnsi"/>
        </w:rPr>
        <w:t xml:space="preserve">(a)(13) For failure to respond to a complete DWC Form RFA </w:t>
      </w:r>
      <w:r w:rsidRPr="00FA1F76">
        <w:rPr>
          <w:rFonts w:cstheme="minorHAnsi"/>
          <w:strike/>
          <w:highlight w:val="yellow"/>
        </w:rPr>
        <w:t>or other request for authorization accepted  by a claims administrator under section 9792.9.1(c)(2) submitted</w:t>
      </w:r>
      <w:r w:rsidRPr="00721205">
        <w:rPr>
          <w:rFonts w:cstheme="minorHAnsi"/>
        </w:rPr>
        <w:t xml:space="preserve"> by the injured employee's requesting treating physician, in the case of a non-expedited prospective review: $ 1,000;</w:t>
      </w:r>
      <w:r w:rsidRPr="00721205">
        <w:rPr>
          <w:rFonts w:cstheme="minorHAnsi"/>
        </w:rPr>
        <w:br/>
      </w:r>
      <w:r w:rsidRPr="00721205">
        <w:rPr>
          <w:rFonts w:cstheme="minorHAnsi"/>
        </w:rPr>
        <w:br/>
        <w:t xml:space="preserve">(a)(14) For failure to respond to a complete DWC Form RFA </w:t>
      </w:r>
      <w:r w:rsidRPr="00FA1F76">
        <w:rPr>
          <w:rFonts w:cstheme="minorHAnsi"/>
          <w:strike/>
          <w:highlight w:val="yellow"/>
        </w:rPr>
        <w:t>or other request for authorization accepted  by a claims administrator under section 9792.9.1(c)(2) submitted</w:t>
      </w:r>
      <w:r w:rsidRPr="00721205">
        <w:rPr>
          <w:rFonts w:cstheme="minorHAnsi"/>
        </w:rPr>
        <w:t xml:space="preserve"> by the injured employee's requesting treating physician, in the case of a retrospective review: $ 500;</w:t>
      </w:r>
      <w:r w:rsidRPr="00721205">
        <w:rPr>
          <w:rFonts w:cstheme="minorHAnsi"/>
        </w:rPr>
        <w:tab/>
      </w:r>
    </w:p>
    <w:p w:rsidR="008D0B04" w:rsidRPr="00721205" w:rsidRDefault="008D0B04" w:rsidP="00D26E87">
      <w:pPr>
        <w:rPr>
          <w:rFonts w:cstheme="minorHAnsi"/>
          <w:u w:val="single"/>
        </w:rPr>
      </w:pPr>
    </w:p>
    <w:p w:rsidR="008D0B04" w:rsidRPr="00FA1F76" w:rsidRDefault="00540254" w:rsidP="00D26E87">
      <w:pPr>
        <w:ind w:left="720"/>
        <w:rPr>
          <w:rFonts w:cstheme="minorHAnsi"/>
          <w:i/>
        </w:rPr>
      </w:pPr>
      <w:r w:rsidRPr="00540254">
        <w:rPr>
          <w:rFonts w:cstheme="minorHAnsi"/>
          <w:i/>
        </w:rPr>
        <w:t>The Institute</w:t>
      </w:r>
      <w:r w:rsidR="008D0B04" w:rsidRPr="00FA1F76">
        <w:rPr>
          <w:rFonts w:cstheme="minorHAnsi"/>
          <w:i/>
        </w:rPr>
        <w:t xml:space="preserve"> urges the DWC to delete the modified language referencing the alternative request for authorization under section 9792.9.1(c)(2).  There should only be one uniform and identifiable request for authorization form.  </w:t>
      </w:r>
      <w:r>
        <w:rPr>
          <w:rFonts w:cstheme="minorHAnsi"/>
          <w:i/>
        </w:rPr>
        <w:t xml:space="preserve">See the introduction and </w:t>
      </w:r>
      <w:r w:rsidR="008D0B04" w:rsidRPr="00FA1F76">
        <w:rPr>
          <w:rFonts w:cstheme="minorHAnsi"/>
          <w:i/>
        </w:rPr>
        <w:t xml:space="preserve">comments </w:t>
      </w:r>
      <w:r>
        <w:rPr>
          <w:rFonts w:cstheme="minorHAnsi"/>
          <w:i/>
        </w:rPr>
        <w:t>on</w:t>
      </w:r>
      <w:r w:rsidR="008D0B04" w:rsidRPr="00FA1F76">
        <w:rPr>
          <w:rFonts w:cstheme="minorHAnsi"/>
          <w:i/>
        </w:rPr>
        <w:t xml:space="preserve"> section 9792.9.1</w:t>
      </w:r>
      <w:r>
        <w:rPr>
          <w:rFonts w:cstheme="minorHAnsi"/>
          <w:i/>
        </w:rPr>
        <w:t xml:space="preserve">(c)(2) and elsewhere in this </w:t>
      </w:r>
      <w:r>
        <w:rPr>
          <w:rFonts w:cstheme="minorHAnsi"/>
          <w:i/>
        </w:rPr>
        <w:lastRenderedPageBreak/>
        <w:t>document</w:t>
      </w:r>
      <w:r w:rsidR="008D0B04" w:rsidRPr="00FA1F76">
        <w:rPr>
          <w:rFonts w:cstheme="minorHAnsi"/>
          <w:i/>
        </w:rPr>
        <w:t xml:space="preserve">. </w:t>
      </w:r>
      <w:r>
        <w:rPr>
          <w:rFonts w:cstheme="minorHAnsi"/>
          <w:i/>
        </w:rPr>
        <w:t xml:space="preserve"> </w:t>
      </w:r>
      <w:r w:rsidR="008D0B04" w:rsidRPr="00FA1F76">
        <w:rPr>
          <w:rFonts w:cstheme="minorHAnsi"/>
          <w:i/>
        </w:rPr>
        <w:t>Only a valid DWC Form RFA should be subject to UR sta</w:t>
      </w:r>
      <w:r w:rsidR="008D0B04">
        <w:rPr>
          <w:rFonts w:cstheme="minorHAnsi"/>
          <w:i/>
        </w:rPr>
        <w:t>ndards, timeframes, procedures and</w:t>
      </w:r>
      <w:r w:rsidR="008D0B04" w:rsidRPr="00FA1F76">
        <w:rPr>
          <w:rFonts w:cstheme="minorHAnsi"/>
          <w:i/>
        </w:rPr>
        <w:t xml:space="preserve"> penalties.</w:t>
      </w:r>
    </w:p>
    <w:p w:rsidR="008D0B04" w:rsidRPr="00721205" w:rsidRDefault="008D0B04" w:rsidP="00D26E87">
      <w:pPr>
        <w:ind w:left="720"/>
        <w:rPr>
          <w:rFonts w:cstheme="minorHAnsi"/>
        </w:rPr>
      </w:pPr>
    </w:p>
    <w:p w:rsidR="00CF349A" w:rsidRDefault="008D0B04" w:rsidP="00D26E87">
      <w:pPr>
        <w:rPr>
          <w:rFonts w:cstheme="minorHAnsi"/>
        </w:rPr>
      </w:pPr>
      <w:r w:rsidRPr="00721205">
        <w:rPr>
          <w:rFonts w:cstheme="minorHAnsi"/>
        </w:rPr>
        <w:t xml:space="preserve">(b)(4)(C) For failure to make a decision to approve or modify or deny the request for authorization, within five (5) working days of receipt of a complete DWC Form RFA </w:t>
      </w:r>
      <w:r w:rsidRPr="00FA1F76">
        <w:rPr>
          <w:rFonts w:cstheme="minorHAnsi"/>
          <w:strike/>
          <w:highlight w:val="yellow"/>
        </w:rPr>
        <w:t>or other request for authorization accepted  by a claims administrator under section 9792.9.1(c)(2)</w:t>
      </w:r>
      <w:r w:rsidRPr="00721205">
        <w:rPr>
          <w:rFonts w:cstheme="minorHAnsi"/>
          <w:strike/>
        </w:rPr>
        <w:t xml:space="preserve"> </w:t>
      </w:r>
      <w:r w:rsidRPr="00721205">
        <w:rPr>
          <w:rFonts w:cstheme="minorHAnsi"/>
        </w:rPr>
        <w:t>submitted by the injured employee's requesting treating physician, or receipt of the requested information for prospective or concurrent review, and to communicate the decision as required by section 9792.9(h)(3) and section 9792.9.1(f) (4);</w:t>
      </w:r>
      <w:r w:rsidRPr="00721205">
        <w:rPr>
          <w:rFonts w:cstheme="minorHAnsi"/>
        </w:rPr>
        <w:br/>
      </w:r>
    </w:p>
    <w:p w:rsidR="00CF349A" w:rsidRPr="00FA1F76" w:rsidRDefault="00CF349A" w:rsidP="00CF349A">
      <w:pPr>
        <w:ind w:left="720"/>
        <w:rPr>
          <w:rFonts w:cstheme="minorHAnsi"/>
          <w:i/>
        </w:rPr>
      </w:pPr>
      <w:r w:rsidRPr="00540254">
        <w:rPr>
          <w:rFonts w:cstheme="minorHAnsi"/>
          <w:i/>
        </w:rPr>
        <w:t>The Institute</w:t>
      </w:r>
      <w:r w:rsidRPr="00FA1F76">
        <w:rPr>
          <w:rFonts w:cstheme="minorHAnsi"/>
          <w:i/>
        </w:rPr>
        <w:t xml:space="preserve"> urges the DWC to delete the modified language referencing the alternative request for authorization under section 9792.9.1(c)(2).  There should only be one uniform and identifiable request for authorization form.  </w:t>
      </w:r>
      <w:r>
        <w:rPr>
          <w:rFonts w:cstheme="minorHAnsi"/>
          <w:i/>
        </w:rPr>
        <w:t xml:space="preserve">See the introduction and </w:t>
      </w:r>
      <w:r w:rsidRPr="00FA1F76">
        <w:rPr>
          <w:rFonts w:cstheme="minorHAnsi"/>
          <w:i/>
        </w:rPr>
        <w:t xml:space="preserve">comments </w:t>
      </w:r>
      <w:r>
        <w:rPr>
          <w:rFonts w:cstheme="minorHAnsi"/>
          <w:i/>
        </w:rPr>
        <w:t>on</w:t>
      </w:r>
      <w:r w:rsidRPr="00FA1F76">
        <w:rPr>
          <w:rFonts w:cstheme="minorHAnsi"/>
          <w:i/>
        </w:rPr>
        <w:t xml:space="preserve"> section 9792.9.1</w:t>
      </w:r>
      <w:r>
        <w:rPr>
          <w:rFonts w:cstheme="minorHAnsi"/>
          <w:i/>
        </w:rPr>
        <w:t>(c)(2) and elsewhere in this document</w:t>
      </w:r>
      <w:r w:rsidRPr="00FA1F76">
        <w:rPr>
          <w:rFonts w:cstheme="minorHAnsi"/>
          <w:i/>
        </w:rPr>
        <w:t xml:space="preserve">. </w:t>
      </w:r>
      <w:r>
        <w:rPr>
          <w:rFonts w:cstheme="minorHAnsi"/>
          <w:i/>
        </w:rPr>
        <w:t xml:space="preserve"> </w:t>
      </w:r>
      <w:r w:rsidRPr="00FA1F76">
        <w:rPr>
          <w:rFonts w:cstheme="minorHAnsi"/>
          <w:i/>
        </w:rPr>
        <w:t>Only a valid DWC Form RFA should be subject to UR sta</w:t>
      </w:r>
      <w:r>
        <w:rPr>
          <w:rFonts w:cstheme="minorHAnsi"/>
          <w:i/>
        </w:rPr>
        <w:t>ndards, timeframes, procedures and</w:t>
      </w:r>
      <w:r w:rsidRPr="00FA1F76">
        <w:rPr>
          <w:rFonts w:cstheme="minorHAnsi"/>
          <w:i/>
        </w:rPr>
        <w:t xml:space="preserve"> penalties.</w:t>
      </w:r>
    </w:p>
    <w:p w:rsidR="008D0B04" w:rsidRDefault="008D0B04" w:rsidP="00D26E87">
      <w:pPr>
        <w:rPr>
          <w:rFonts w:cstheme="minorHAnsi"/>
        </w:rPr>
      </w:pPr>
      <w:r w:rsidRPr="00721205">
        <w:rPr>
          <w:rFonts w:cstheme="minorHAnsi"/>
        </w:rPr>
        <w:br/>
        <w:t xml:space="preserve">(b)(4)(D) For failure to make and communicate a retrospective decision to approve, modify, or deny the request, within thirty (30) working days of receipt of a complete DWC Form RFA </w:t>
      </w:r>
      <w:r w:rsidRPr="00FA1F76">
        <w:rPr>
          <w:rFonts w:cstheme="minorHAnsi"/>
          <w:strike/>
          <w:highlight w:val="yellow"/>
        </w:rPr>
        <w:t>or other request for authorization accepted  by a claims administrator under section 9792.9.1(c)(2)</w:t>
      </w:r>
      <w:r w:rsidRPr="00721205">
        <w:rPr>
          <w:rFonts w:cstheme="minorHAnsi"/>
        </w:rPr>
        <w:t xml:space="preserve"> submitted by the injured employee's requesting treating physician, or receipt of the requested information, as required by section 9792.9(h)(4) and section 9792.9.1(e)(4), and (f)(6);</w:t>
      </w:r>
    </w:p>
    <w:p w:rsidR="008D0B04" w:rsidRPr="00721205" w:rsidRDefault="008D0B04" w:rsidP="00D26E87">
      <w:pPr>
        <w:rPr>
          <w:rFonts w:cstheme="minorHAnsi"/>
        </w:rPr>
      </w:pPr>
    </w:p>
    <w:p w:rsidR="00CF349A" w:rsidRPr="00FA1F76" w:rsidRDefault="00CF349A" w:rsidP="00CF349A">
      <w:pPr>
        <w:ind w:left="720"/>
        <w:rPr>
          <w:rFonts w:cstheme="minorHAnsi"/>
          <w:i/>
        </w:rPr>
      </w:pPr>
      <w:r w:rsidRPr="00540254">
        <w:rPr>
          <w:rFonts w:cstheme="minorHAnsi"/>
          <w:i/>
        </w:rPr>
        <w:t>The Institute</w:t>
      </w:r>
      <w:r w:rsidRPr="00FA1F76">
        <w:rPr>
          <w:rFonts w:cstheme="minorHAnsi"/>
          <w:i/>
        </w:rPr>
        <w:t xml:space="preserve"> urges the DWC to delete the modified language referencing the alternative request for authorization under section 9792.9.1(c)(2).  There should only be one uniform and identifiable request for authorization form.  </w:t>
      </w:r>
      <w:r>
        <w:rPr>
          <w:rFonts w:cstheme="minorHAnsi"/>
          <w:i/>
        </w:rPr>
        <w:t xml:space="preserve">See the introduction and </w:t>
      </w:r>
      <w:r w:rsidRPr="00FA1F76">
        <w:rPr>
          <w:rFonts w:cstheme="minorHAnsi"/>
          <w:i/>
        </w:rPr>
        <w:t xml:space="preserve">comments </w:t>
      </w:r>
      <w:r>
        <w:rPr>
          <w:rFonts w:cstheme="minorHAnsi"/>
          <w:i/>
        </w:rPr>
        <w:t>on</w:t>
      </w:r>
      <w:r w:rsidRPr="00FA1F76">
        <w:rPr>
          <w:rFonts w:cstheme="minorHAnsi"/>
          <w:i/>
        </w:rPr>
        <w:t xml:space="preserve"> section 9792.9.1</w:t>
      </w:r>
      <w:r>
        <w:rPr>
          <w:rFonts w:cstheme="minorHAnsi"/>
          <w:i/>
        </w:rPr>
        <w:t>(c)(2) and elsewhere in this document</w:t>
      </w:r>
      <w:r w:rsidRPr="00FA1F76">
        <w:rPr>
          <w:rFonts w:cstheme="minorHAnsi"/>
          <w:i/>
        </w:rPr>
        <w:t xml:space="preserve">. </w:t>
      </w:r>
      <w:r>
        <w:rPr>
          <w:rFonts w:cstheme="minorHAnsi"/>
          <w:i/>
        </w:rPr>
        <w:t xml:space="preserve"> </w:t>
      </w:r>
      <w:r w:rsidRPr="00FA1F76">
        <w:rPr>
          <w:rFonts w:cstheme="minorHAnsi"/>
          <w:i/>
        </w:rPr>
        <w:t>Only a valid DWC Form RFA should be subject to UR sta</w:t>
      </w:r>
      <w:r>
        <w:rPr>
          <w:rFonts w:cstheme="minorHAnsi"/>
          <w:i/>
        </w:rPr>
        <w:t>ndards, timeframes, procedures and</w:t>
      </w:r>
      <w:r w:rsidRPr="00FA1F76">
        <w:rPr>
          <w:rFonts w:cstheme="minorHAnsi"/>
          <w:i/>
        </w:rPr>
        <w:t xml:space="preserve"> penalties.</w:t>
      </w:r>
    </w:p>
    <w:p w:rsidR="008D0B04" w:rsidRPr="00721205" w:rsidRDefault="008D0B04" w:rsidP="00D26E87">
      <w:pPr>
        <w:ind w:left="720"/>
        <w:rPr>
          <w:rFonts w:cstheme="minorHAnsi"/>
        </w:rPr>
      </w:pPr>
    </w:p>
    <w:p w:rsidR="008D0B04" w:rsidRDefault="008D0B04" w:rsidP="00D26E87">
      <w:pPr>
        <w:rPr>
          <w:rFonts w:cstheme="minorHAnsi"/>
        </w:rPr>
      </w:pPr>
      <w:r w:rsidRPr="00721205">
        <w:rPr>
          <w:rFonts w:cstheme="minorHAnsi"/>
        </w:rPr>
        <w:t xml:space="preserve">(c)(1) For the failure to provide the Application for Independent Medical Review, DWC Form IMR, set forth at section 9792.10.2, with all applicable fields completed by the claims administrator, with a written decision modifying, delaying, or denying a treatment authorization under sections 9792.9(l) or 9792.9.1: </w:t>
      </w:r>
      <w:r w:rsidRPr="00A602EA">
        <w:rPr>
          <w:rFonts w:cstheme="minorHAnsi"/>
          <w:strike/>
          <w:highlight w:val="yellow"/>
        </w:rPr>
        <w:t>$2,000</w:t>
      </w:r>
      <w:r w:rsidRPr="00721205">
        <w:rPr>
          <w:rFonts w:cstheme="minorHAnsi"/>
        </w:rPr>
        <w:t xml:space="preserve">. </w:t>
      </w:r>
    </w:p>
    <w:p w:rsidR="008D0B04" w:rsidRPr="00721205" w:rsidRDefault="008D0B04" w:rsidP="00D26E87">
      <w:pPr>
        <w:rPr>
          <w:rFonts w:cstheme="minorHAnsi"/>
        </w:rPr>
      </w:pPr>
    </w:p>
    <w:p w:rsidR="008D0B04" w:rsidRPr="00FA1F76" w:rsidRDefault="008D0B04" w:rsidP="00D26E87">
      <w:pPr>
        <w:ind w:left="720"/>
        <w:rPr>
          <w:rFonts w:cstheme="minorHAnsi"/>
          <w:i/>
        </w:rPr>
      </w:pPr>
      <w:r w:rsidRPr="00FA1F76">
        <w:rPr>
          <w:rFonts w:cstheme="minorHAnsi"/>
          <w:i/>
        </w:rPr>
        <w:t>The proposed penalty is overly punitive for what can amount to a nonmaterial administrative error that will have little</w:t>
      </w:r>
      <w:r w:rsidR="00CF349A">
        <w:rPr>
          <w:rFonts w:cstheme="minorHAnsi"/>
          <w:i/>
        </w:rPr>
        <w:t xml:space="preserve"> </w:t>
      </w:r>
      <w:r w:rsidRPr="00FA1F76">
        <w:rPr>
          <w:rFonts w:cstheme="minorHAnsi"/>
          <w:i/>
        </w:rPr>
        <w:t xml:space="preserve">if any </w:t>
      </w:r>
      <w:r w:rsidR="00CF349A" w:rsidRPr="00FA1F76">
        <w:rPr>
          <w:rFonts w:cstheme="minorHAnsi"/>
          <w:i/>
        </w:rPr>
        <w:t>effect</w:t>
      </w:r>
      <w:r w:rsidRPr="00FA1F76">
        <w:rPr>
          <w:rFonts w:cstheme="minorHAnsi"/>
          <w:i/>
        </w:rPr>
        <w:t xml:space="preserve"> on the IMR process.  Under this section, a claims administrator would face a $2</w:t>
      </w:r>
      <w:r w:rsidR="008B1DD1">
        <w:rPr>
          <w:rFonts w:cstheme="minorHAnsi"/>
          <w:i/>
        </w:rPr>
        <w:t>,</w:t>
      </w:r>
      <w:r w:rsidRPr="00FA1F76">
        <w:rPr>
          <w:rFonts w:cstheme="minorHAnsi"/>
          <w:i/>
        </w:rPr>
        <w:t xml:space="preserve">000 fine for failing to fill out any </w:t>
      </w:r>
      <w:r w:rsidR="00CF349A">
        <w:rPr>
          <w:rFonts w:cstheme="minorHAnsi"/>
          <w:i/>
        </w:rPr>
        <w:t xml:space="preserve">one </w:t>
      </w:r>
      <w:r w:rsidRPr="00FA1F76">
        <w:rPr>
          <w:rFonts w:cstheme="minorHAnsi"/>
          <w:i/>
        </w:rPr>
        <w:t xml:space="preserve">of the fields on the IMR application.  This type of administrative error does not rise to the same level as failing to provide an injured worker with an IMR application and, as such, should not </w:t>
      </w:r>
      <w:r>
        <w:rPr>
          <w:rFonts w:cstheme="minorHAnsi"/>
          <w:i/>
        </w:rPr>
        <w:t>impose</w:t>
      </w:r>
      <w:r w:rsidRPr="00FA1F76">
        <w:rPr>
          <w:rFonts w:cstheme="minorHAnsi"/>
          <w:i/>
        </w:rPr>
        <w:t xml:space="preserve"> the same level of punishment. </w:t>
      </w:r>
    </w:p>
    <w:p w:rsidR="008D0B04" w:rsidRPr="00FA1F76" w:rsidRDefault="008D0B04" w:rsidP="00D26E87">
      <w:pPr>
        <w:ind w:left="720"/>
        <w:rPr>
          <w:rFonts w:cstheme="minorHAnsi"/>
          <w:i/>
        </w:rPr>
      </w:pPr>
    </w:p>
    <w:p w:rsidR="008D0B04" w:rsidRPr="00FA1F76" w:rsidRDefault="008D0B04" w:rsidP="00D26E87">
      <w:pPr>
        <w:ind w:left="720"/>
        <w:rPr>
          <w:rFonts w:cstheme="minorHAnsi"/>
          <w:i/>
        </w:rPr>
      </w:pPr>
      <w:r w:rsidRPr="00FA1F76">
        <w:rPr>
          <w:rFonts w:cstheme="minorHAnsi"/>
          <w:i/>
        </w:rPr>
        <w:t xml:space="preserve">We suggest that the DWC create a three-tiered penalty scheme for IMR applications:  </w:t>
      </w:r>
    </w:p>
    <w:p w:rsidR="008D0B04" w:rsidRPr="00FA1F76" w:rsidRDefault="008D0B04" w:rsidP="00D26E87">
      <w:pPr>
        <w:ind w:left="720"/>
        <w:rPr>
          <w:rFonts w:cstheme="minorHAnsi"/>
          <w:i/>
        </w:rPr>
      </w:pPr>
    </w:p>
    <w:p w:rsidR="008D0B04" w:rsidRDefault="008D0B04" w:rsidP="00D26E87">
      <w:pPr>
        <w:pStyle w:val="ListParagraph"/>
        <w:numPr>
          <w:ilvl w:val="0"/>
          <w:numId w:val="61"/>
        </w:numPr>
        <w:spacing w:line="276" w:lineRule="auto"/>
        <w:contextualSpacing/>
        <w:rPr>
          <w:rFonts w:cstheme="minorHAnsi"/>
          <w:i/>
        </w:rPr>
      </w:pPr>
      <w:r w:rsidRPr="00FA1F76">
        <w:rPr>
          <w:rFonts w:cstheme="minorHAnsi"/>
          <w:b/>
          <w:i/>
        </w:rPr>
        <w:lastRenderedPageBreak/>
        <w:t xml:space="preserve">Nonmaterial </w:t>
      </w:r>
      <w:r w:rsidR="00334CAB">
        <w:rPr>
          <w:rFonts w:cstheme="minorHAnsi"/>
          <w:b/>
          <w:i/>
        </w:rPr>
        <w:t>f</w:t>
      </w:r>
      <w:r w:rsidRPr="00FA1F76">
        <w:rPr>
          <w:rFonts w:cstheme="minorHAnsi"/>
          <w:b/>
          <w:i/>
        </w:rPr>
        <w:t xml:space="preserve">ailure to </w:t>
      </w:r>
      <w:r w:rsidR="00334CAB">
        <w:rPr>
          <w:rFonts w:cstheme="minorHAnsi"/>
          <w:b/>
          <w:i/>
        </w:rPr>
        <w:t>c</w:t>
      </w:r>
      <w:r w:rsidRPr="00FA1F76">
        <w:rPr>
          <w:rFonts w:cstheme="minorHAnsi"/>
          <w:b/>
          <w:i/>
        </w:rPr>
        <w:t xml:space="preserve">omplete IMR </w:t>
      </w:r>
      <w:r w:rsidR="00334CAB">
        <w:rPr>
          <w:rFonts w:cstheme="minorHAnsi"/>
          <w:b/>
          <w:i/>
        </w:rPr>
        <w:t>a</w:t>
      </w:r>
      <w:r w:rsidRPr="00FA1F76">
        <w:rPr>
          <w:rFonts w:cstheme="minorHAnsi"/>
          <w:b/>
          <w:i/>
        </w:rPr>
        <w:t xml:space="preserve">pplication </w:t>
      </w:r>
      <w:r w:rsidR="00334CAB">
        <w:rPr>
          <w:rFonts w:cstheme="minorHAnsi"/>
          <w:b/>
          <w:i/>
        </w:rPr>
        <w:t>f</w:t>
      </w:r>
      <w:r w:rsidRPr="00FA1F76">
        <w:rPr>
          <w:rFonts w:cstheme="minorHAnsi"/>
          <w:b/>
          <w:i/>
        </w:rPr>
        <w:t xml:space="preserve">orm </w:t>
      </w:r>
      <w:r w:rsidR="00334CAB">
        <w:rPr>
          <w:rFonts w:cstheme="minorHAnsi"/>
          <w:b/>
          <w:i/>
        </w:rPr>
        <w:t>f</w:t>
      </w:r>
      <w:r w:rsidRPr="00FA1F76">
        <w:rPr>
          <w:rFonts w:cstheme="minorHAnsi"/>
          <w:b/>
          <w:i/>
        </w:rPr>
        <w:t>ields</w:t>
      </w:r>
      <w:r w:rsidRPr="00FA1F76">
        <w:rPr>
          <w:rFonts w:cstheme="minorHAnsi"/>
          <w:i/>
        </w:rPr>
        <w:t xml:space="preserve">: A penalty </w:t>
      </w:r>
      <w:r w:rsidR="00334CAB">
        <w:rPr>
          <w:rFonts w:cstheme="minorHAnsi"/>
          <w:i/>
        </w:rPr>
        <w:t xml:space="preserve">of no more than </w:t>
      </w:r>
      <w:r w:rsidR="00334CAB" w:rsidRPr="00FA1F76">
        <w:rPr>
          <w:rFonts w:cstheme="minorHAnsi"/>
          <w:i/>
        </w:rPr>
        <w:t xml:space="preserve">$100 </w:t>
      </w:r>
      <w:r w:rsidRPr="00FA1F76">
        <w:rPr>
          <w:rFonts w:cstheme="minorHAnsi"/>
          <w:i/>
        </w:rPr>
        <w:t xml:space="preserve">should be assessed against the claims administrator for a non-material administrative error that does not have a significant effect on the IMR application process.  </w:t>
      </w:r>
    </w:p>
    <w:p w:rsidR="008D0B04" w:rsidRPr="009272D3" w:rsidRDefault="008D0B04" w:rsidP="00D26E87">
      <w:pPr>
        <w:pStyle w:val="ListParagraph"/>
        <w:ind w:left="1800"/>
        <w:rPr>
          <w:rFonts w:cstheme="minorHAnsi"/>
          <w:i/>
          <w:sz w:val="16"/>
        </w:rPr>
      </w:pPr>
    </w:p>
    <w:p w:rsidR="008D0B04" w:rsidRDefault="008D0B04" w:rsidP="00D26E87">
      <w:pPr>
        <w:pStyle w:val="ListParagraph"/>
        <w:numPr>
          <w:ilvl w:val="0"/>
          <w:numId w:val="61"/>
        </w:numPr>
        <w:spacing w:line="276" w:lineRule="auto"/>
        <w:contextualSpacing/>
        <w:rPr>
          <w:rFonts w:cstheme="minorHAnsi"/>
          <w:i/>
        </w:rPr>
      </w:pPr>
      <w:r w:rsidRPr="00FA1F76">
        <w:rPr>
          <w:rFonts w:cstheme="minorHAnsi"/>
          <w:b/>
          <w:i/>
        </w:rPr>
        <w:t xml:space="preserve">Material </w:t>
      </w:r>
      <w:r w:rsidR="00334CAB">
        <w:rPr>
          <w:rFonts w:cstheme="minorHAnsi"/>
          <w:b/>
          <w:i/>
        </w:rPr>
        <w:t>f</w:t>
      </w:r>
      <w:r w:rsidRPr="00FA1F76">
        <w:rPr>
          <w:rFonts w:cstheme="minorHAnsi"/>
          <w:b/>
          <w:i/>
        </w:rPr>
        <w:t xml:space="preserve">ailure to </w:t>
      </w:r>
      <w:r w:rsidR="00334CAB">
        <w:rPr>
          <w:rFonts w:cstheme="minorHAnsi"/>
          <w:b/>
          <w:i/>
        </w:rPr>
        <w:t>c</w:t>
      </w:r>
      <w:r w:rsidRPr="00FA1F76">
        <w:rPr>
          <w:rFonts w:cstheme="minorHAnsi"/>
          <w:b/>
          <w:i/>
        </w:rPr>
        <w:t xml:space="preserve">omplete IMR </w:t>
      </w:r>
      <w:r w:rsidR="00334CAB">
        <w:rPr>
          <w:rFonts w:cstheme="minorHAnsi"/>
          <w:b/>
          <w:i/>
        </w:rPr>
        <w:t>a</w:t>
      </w:r>
      <w:r w:rsidRPr="00FA1F76">
        <w:rPr>
          <w:rFonts w:cstheme="minorHAnsi"/>
          <w:b/>
          <w:i/>
        </w:rPr>
        <w:t xml:space="preserve">pplication </w:t>
      </w:r>
      <w:r w:rsidR="00334CAB">
        <w:rPr>
          <w:rFonts w:cstheme="minorHAnsi"/>
          <w:b/>
          <w:i/>
        </w:rPr>
        <w:t>f</w:t>
      </w:r>
      <w:r w:rsidRPr="00FA1F76">
        <w:rPr>
          <w:rFonts w:cstheme="minorHAnsi"/>
          <w:b/>
          <w:i/>
        </w:rPr>
        <w:t xml:space="preserve">orm </w:t>
      </w:r>
      <w:r w:rsidR="00334CAB">
        <w:rPr>
          <w:rFonts w:cstheme="minorHAnsi"/>
          <w:b/>
          <w:i/>
        </w:rPr>
        <w:t>f</w:t>
      </w:r>
      <w:r w:rsidRPr="00FA1F76">
        <w:rPr>
          <w:rFonts w:cstheme="minorHAnsi"/>
          <w:b/>
          <w:i/>
        </w:rPr>
        <w:t>ields</w:t>
      </w:r>
      <w:r w:rsidRPr="00FA1F76">
        <w:rPr>
          <w:rFonts w:cstheme="minorHAnsi"/>
          <w:i/>
        </w:rPr>
        <w:t xml:space="preserve">:  A penalty </w:t>
      </w:r>
      <w:r w:rsidR="00334CAB">
        <w:rPr>
          <w:rFonts w:cstheme="minorHAnsi"/>
          <w:i/>
        </w:rPr>
        <w:t xml:space="preserve">of no more than </w:t>
      </w:r>
      <w:r w:rsidR="00334CAB" w:rsidRPr="00FA1F76">
        <w:rPr>
          <w:rFonts w:cstheme="minorHAnsi"/>
          <w:i/>
        </w:rPr>
        <w:t xml:space="preserve">$500 </w:t>
      </w:r>
      <w:r w:rsidRPr="00FA1F76">
        <w:rPr>
          <w:rFonts w:cstheme="minorHAnsi"/>
          <w:i/>
        </w:rPr>
        <w:t xml:space="preserve">should be assessed for material errors that have a significant effect on the IMR application process. </w:t>
      </w:r>
    </w:p>
    <w:p w:rsidR="008D0B04" w:rsidRPr="009272D3" w:rsidRDefault="008D0B04" w:rsidP="00D26E87">
      <w:pPr>
        <w:rPr>
          <w:rFonts w:cstheme="minorHAnsi"/>
          <w:i/>
          <w:sz w:val="16"/>
        </w:rPr>
      </w:pPr>
    </w:p>
    <w:p w:rsidR="00EB5F3C" w:rsidRDefault="008D0B04" w:rsidP="00D26E87">
      <w:pPr>
        <w:pStyle w:val="ListParagraph"/>
        <w:numPr>
          <w:ilvl w:val="0"/>
          <w:numId w:val="61"/>
        </w:numPr>
        <w:spacing w:line="276" w:lineRule="auto"/>
        <w:contextualSpacing/>
        <w:rPr>
          <w:rFonts w:cstheme="minorHAnsi"/>
          <w:i/>
        </w:rPr>
      </w:pPr>
      <w:r w:rsidRPr="00FA1F76">
        <w:rPr>
          <w:rFonts w:cstheme="minorHAnsi"/>
          <w:b/>
          <w:i/>
        </w:rPr>
        <w:t xml:space="preserve">Failure to </w:t>
      </w:r>
      <w:r w:rsidR="00334CAB">
        <w:rPr>
          <w:rFonts w:cstheme="minorHAnsi"/>
          <w:b/>
          <w:i/>
        </w:rPr>
        <w:t>p</w:t>
      </w:r>
      <w:r w:rsidRPr="00FA1F76">
        <w:rPr>
          <w:rFonts w:cstheme="minorHAnsi"/>
          <w:b/>
          <w:i/>
        </w:rPr>
        <w:t xml:space="preserve">rovide IMR </w:t>
      </w:r>
      <w:r w:rsidR="00334CAB">
        <w:rPr>
          <w:rFonts w:cstheme="minorHAnsi"/>
          <w:b/>
          <w:i/>
        </w:rPr>
        <w:t>a</w:t>
      </w:r>
      <w:r w:rsidRPr="00FA1F76">
        <w:rPr>
          <w:rFonts w:cstheme="minorHAnsi"/>
          <w:b/>
          <w:i/>
        </w:rPr>
        <w:t xml:space="preserve">pplication </w:t>
      </w:r>
      <w:r w:rsidR="00B0743A">
        <w:rPr>
          <w:rFonts w:cstheme="minorHAnsi"/>
          <w:b/>
          <w:i/>
        </w:rPr>
        <w:t>with the</w:t>
      </w:r>
      <w:r w:rsidRPr="00FA1F76">
        <w:rPr>
          <w:rFonts w:cstheme="minorHAnsi"/>
          <w:b/>
          <w:i/>
        </w:rPr>
        <w:t xml:space="preserve"> </w:t>
      </w:r>
      <w:r w:rsidR="00334CAB">
        <w:rPr>
          <w:rFonts w:cstheme="minorHAnsi"/>
          <w:b/>
          <w:i/>
        </w:rPr>
        <w:t>c</w:t>
      </w:r>
      <w:r w:rsidRPr="00FA1F76">
        <w:rPr>
          <w:rFonts w:cstheme="minorHAnsi"/>
          <w:b/>
          <w:i/>
        </w:rPr>
        <w:t xml:space="preserve">omplete </w:t>
      </w:r>
      <w:r w:rsidR="00334CAB">
        <w:rPr>
          <w:rFonts w:cstheme="minorHAnsi"/>
          <w:b/>
          <w:i/>
        </w:rPr>
        <w:t>w</w:t>
      </w:r>
      <w:r w:rsidRPr="00FA1F76">
        <w:rPr>
          <w:rFonts w:cstheme="minorHAnsi"/>
          <w:b/>
          <w:i/>
        </w:rPr>
        <w:t xml:space="preserve">ritten </w:t>
      </w:r>
      <w:r w:rsidR="00334CAB">
        <w:rPr>
          <w:rFonts w:cstheme="minorHAnsi"/>
          <w:b/>
          <w:i/>
        </w:rPr>
        <w:t>d</w:t>
      </w:r>
      <w:r w:rsidRPr="00FA1F76">
        <w:rPr>
          <w:rFonts w:cstheme="minorHAnsi"/>
          <w:b/>
          <w:i/>
        </w:rPr>
        <w:t xml:space="preserve">ecision </w:t>
      </w:r>
      <w:r w:rsidR="00B0743A">
        <w:rPr>
          <w:rFonts w:cstheme="minorHAnsi"/>
          <w:b/>
          <w:i/>
        </w:rPr>
        <w:t>m</w:t>
      </w:r>
      <w:r w:rsidRPr="00FA1F76">
        <w:rPr>
          <w:rFonts w:cstheme="minorHAnsi"/>
          <w:b/>
          <w:i/>
        </w:rPr>
        <w:t xml:space="preserve">odifying, </w:t>
      </w:r>
      <w:r w:rsidR="00B0743A">
        <w:rPr>
          <w:rFonts w:cstheme="minorHAnsi"/>
          <w:b/>
          <w:i/>
        </w:rPr>
        <w:t>d</w:t>
      </w:r>
      <w:r w:rsidRPr="00FA1F76">
        <w:rPr>
          <w:rFonts w:cstheme="minorHAnsi"/>
          <w:b/>
          <w:i/>
        </w:rPr>
        <w:t xml:space="preserve">elaying or </w:t>
      </w:r>
      <w:r w:rsidR="00B0743A">
        <w:rPr>
          <w:rFonts w:cstheme="minorHAnsi"/>
          <w:b/>
          <w:i/>
        </w:rPr>
        <w:t>d</w:t>
      </w:r>
      <w:r w:rsidRPr="00FA1F76">
        <w:rPr>
          <w:rFonts w:cstheme="minorHAnsi"/>
          <w:b/>
          <w:i/>
        </w:rPr>
        <w:t xml:space="preserve">enying </w:t>
      </w:r>
      <w:r w:rsidR="00B0743A">
        <w:rPr>
          <w:rFonts w:cstheme="minorHAnsi"/>
          <w:b/>
          <w:i/>
        </w:rPr>
        <w:t>t</w:t>
      </w:r>
      <w:r w:rsidRPr="00FA1F76">
        <w:rPr>
          <w:rFonts w:cstheme="minorHAnsi"/>
          <w:b/>
          <w:i/>
        </w:rPr>
        <w:t>reatment</w:t>
      </w:r>
      <w:r w:rsidRPr="00FA1F76">
        <w:rPr>
          <w:rFonts w:cstheme="minorHAnsi"/>
          <w:i/>
        </w:rPr>
        <w:t xml:space="preserve">:  A penalty of </w:t>
      </w:r>
      <w:r w:rsidR="00B0743A">
        <w:rPr>
          <w:rFonts w:cstheme="minorHAnsi"/>
          <w:i/>
        </w:rPr>
        <w:t>no more than</w:t>
      </w:r>
      <w:r w:rsidRPr="00FA1F76">
        <w:rPr>
          <w:rFonts w:cstheme="minorHAnsi"/>
          <w:i/>
        </w:rPr>
        <w:t xml:space="preserve"> $2</w:t>
      </w:r>
      <w:r w:rsidR="00B0743A">
        <w:rPr>
          <w:rFonts w:cstheme="minorHAnsi"/>
          <w:i/>
        </w:rPr>
        <w:t>,</w:t>
      </w:r>
      <w:r w:rsidRPr="00FA1F76">
        <w:rPr>
          <w:rFonts w:cstheme="minorHAnsi"/>
          <w:i/>
        </w:rPr>
        <w:t xml:space="preserve">000 should be assessed for failure to provide the IMR application to the injured worker </w:t>
      </w:r>
      <w:r w:rsidR="00B0743A">
        <w:rPr>
          <w:rFonts w:cstheme="minorHAnsi"/>
          <w:i/>
        </w:rPr>
        <w:t>with</w:t>
      </w:r>
      <w:r w:rsidRPr="00FA1F76">
        <w:rPr>
          <w:rFonts w:cstheme="minorHAnsi"/>
          <w:i/>
        </w:rPr>
        <w:t xml:space="preserve"> </w:t>
      </w:r>
      <w:r w:rsidR="00B0743A">
        <w:rPr>
          <w:rFonts w:cstheme="minorHAnsi"/>
          <w:i/>
        </w:rPr>
        <w:t>the</w:t>
      </w:r>
      <w:r w:rsidRPr="00FA1F76">
        <w:rPr>
          <w:rFonts w:cstheme="minorHAnsi"/>
          <w:i/>
        </w:rPr>
        <w:t xml:space="preserve"> complete written decision.  </w:t>
      </w:r>
    </w:p>
    <w:p w:rsidR="00EB5F3C" w:rsidRPr="009272D3" w:rsidRDefault="00EB5F3C" w:rsidP="00EB5F3C">
      <w:pPr>
        <w:pStyle w:val="ListParagraph"/>
        <w:rPr>
          <w:rFonts w:cstheme="minorHAnsi"/>
          <w:i/>
          <w:sz w:val="16"/>
        </w:rPr>
      </w:pPr>
    </w:p>
    <w:p w:rsidR="008D0B04" w:rsidRDefault="008D0B04" w:rsidP="00EB5F3C">
      <w:pPr>
        <w:pStyle w:val="ListParagraph"/>
        <w:spacing w:line="276" w:lineRule="auto"/>
        <w:contextualSpacing/>
        <w:rPr>
          <w:rFonts w:cstheme="minorHAnsi"/>
          <w:i/>
        </w:rPr>
      </w:pPr>
      <w:r w:rsidRPr="00FA1F76">
        <w:rPr>
          <w:rFonts w:cstheme="minorHAnsi"/>
          <w:i/>
        </w:rPr>
        <w:t xml:space="preserve">The total amount of the penalty should be at the discretion of the Administrative Director and should be based on an analysis of the severity of the violation, the effect on the IMR process and efforts undertaken to remedy the error.  </w:t>
      </w:r>
    </w:p>
    <w:p w:rsidR="008D0B04" w:rsidRPr="00FA1F76" w:rsidRDefault="008D0B04" w:rsidP="00D26E87">
      <w:pPr>
        <w:rPr>
          <w:rFonts w:cstheme="minorHAnsi"/>
          <w:i/>
        </w:rPr>
      </w:pPr>
    </w:p>
    <w:p w:rsidR="00753B07" w:rsidRDefault="008D0B04" w:rsidP="00D26E87">
      <w:pPr>
        <w:rPr>
          <w:rFonts w:cstheme="minorHAnsi"/>
          <w:strike/>
          <w:highlight w:val="yellow"/>
        </w:rPr>
      </w:pPr>
      <w:r w:rsidRPr="00FA1F76">
        <w:rPr>
          <w:rFonts w:cstheme="minorHAnsi"/>
          <w:strike/>
        </w:rPr>
        <w:t xml:space="preserve"> </w:t>
      </w:r>
      <w:r w:rsidRPr="00FA1F76">
        <w:rPr>
          <w:rFonts w:cstheme="minorHAnsi"/>
          <w:strike/>
          <w:highlight w:val="yellow"/>
        </w:rPr>
        <w:t>(c)(2) For the failure to include in a written decision modifying, delaying, or denying a treatment authorization under sections 9792.9(l) or 9792.9.1 a clear statement that advising the injured employee that any dispute shall be resolved in accordance with the independent medical review provisions of Labor Code section 4610.5 and 4610.6, and that an objection to the utilization review decision must be communicated by the injured worker, the injured worker's representative, or the injured worker's attorney on behalf of the injured worker on the Application for Independent Medical Review, DWC Form IMR, set forth at section 9792.10.2, within 30 days of service of the utilization review decision: $1,000.</w:t>
      </w:r>
    </w:p>
    <w:p w:rsidR="008D0B04" w:rsidRPr="00FA1F76" w:rsidRDefault="008D0B04" w:rsidP="00D26E87">
      <w:pPr>
        <w:rPr>
          <w:rFonts w:cstheme="minorHAnsi"/>
          <w:strike/>
          <w:highlight w:val="yellow"/>
        </w:rPr>
      </w:pPr>
      <w:r w:rsidRPr="00FA1F76">
        <w:rPr>
          <w:rFonts w:cstheme="minorHAnsi"/>
          <w:strike/>
          <w:highlight w:val="yellow"/>
        </w:rPr>
        <w:t xml:space="preserve"> </w:t>
      </w:r>
    </w:p>
    <w:p w:rsidR="008D0B04" w:rsidRPr="00FA1F76" w:rsidRDefault="008D0B04" w:rsidP="00D26E87">
      <w:pPr>
        <w:rPr>
          <w:rFonts w:cstheme="minorHAnsi"/>
          <w:strike/>
        </w:rPr>
      </w:pPr>
      <w:r w:rsidRPr="00FA1F76">
        <w:rPr>
          <w:rFonts w:cstheme="minorHAnsi"/>
          <w:strike/>
          <w:highlight w:val="yellow"/>
        </w:rPr>
        <w:t>(c)(3) For the failure to include in a written decision modifying, delaying, or denying a treatment authorization under sections 9792.9(l) or 9792.9.1 a statement detailing the claims administrator's internal utilization review appeals process for the requesting physician, if any, and a statement that the internal appeals process is a voluntary process that neither triggers nor bars use of the dispute resolution procedures of Labor Code section 4610.5 and 4610.6, but may be pursued on an optional basis: $1,000.</w:t>
      </w:r>
      <w:r w:rsidRPr="00FA1F76">
        <w:rPr>
          <w:rFonts w:cstheme="minorHAnsi"/>
          <w:strike/>
        </w:rPr>
        <w:t xml:space="preserve"> </w:t>
      </w:r>
    </w:p>
    <w:p w:rsidR="008D0B04" w:rsidRPr="00721205" w:rsidRDefault="008D0B04" w:rsidP="00D26E87">
      <w:pPr>
        <w:rPr>
          <w:rFonts w:cstheme="minorHAnsi"/>
          <w:strike/>
        </w:rPr>
      </w:pPr>
    </w:p>
    <w:p w:rsidR="008D0B04" w:rsidRPr="00FA1F76" w:rsidRDefault="009B699B" w:rsidP="00D26E87">
      <w:pPr>
        <w:ind w:left="720"/>
        <w:rPr>
          <w:rFonts w:cstheme="minorHAnsi"/>
          <w:i/>
        </w:rPr>
      </w:pPr>
      <w:r>
        <w:rPr>
          <w:rFonts w:cstheme="minorHAnsi"/>
          <w:i/>
        </w:rPr>
        <w:t xml:space="preserve">Subdivisions </w:t>
      </w:r>
      <w:r w:rsidR="00753B07">
        <w:rPr>
          <w:rFonts w:cstheme="minorHAnsi"/>
          <w:i/>
        </w:rPr>
        <w:t xml:space="preserve">(c)(2) and (c)(3) </w:t>
      </w:r>
      <w:r w:rsidR="008D0B04" w:rsidRPr="00FA1F76">
        <w:rPr>
          <w:rFonts w:cstheme="minorHAnsi"/>
          <w:i/>
        </w:rPr>
        <w:t>are redundant and should be struck.  Essentially, there are now three sets of penalties for the same act – failing to provide a complete statement to an injured worker along with a decision to modify, delay or deny</w:t>
      </w:r>
      <w:r w:rsidR="00753B07">
        <w:rPr>
          <w:rFonts w:cstheme="minorHAnsi"/>
          <w:i/>
        </w:rPr>
        <w:t xml:space="preserve"> </w:t>
      </w:r>
      <w:r w:rsidR="008D0B04" w:rsidRPr="00FA1F76">
        <w:rPr>
          <w:rFonts w:cstheme="minorHAnsi"/>
          <w:i/>
        </w:rPr>
        <w:t xml:space="preserve">treatment.  Section 9792.12(c)(1) penalizes claims administrators for failure to provide this statement, while sections 9792.12(c)(2)-(3) provide penalties for deficient statements. There is little operative distinction between the different violations, and this will likely lead to a piling-on of penalties on claims administrators for essentially one violation.  </w:t>
      </w:r>
    </w:p>
    <w:p w:rsidR="008D0B04" w:rsidRPr="00FA1F76" w:rsidRDefault="008D0B04" w:rsidP="00D26E87">
      <w:pPr>
        <w:ind w:left="720"/>
        <w:rPr>
          <w:rFonts w:cstheme="minorHAnsi"/>
          <w:i/>
        </w:rPr>
      </w:pPr>
    </w:p>
    <w:p w:rsidR="008D0B04" w:rsidRPr="00FA1F76" w:rsidRDefault="008D0B04" w:rsidP="00D26E87">
      <w:pPr>
        <w:ind w:left="720"/>
        <w:rPr>
          <w:rFonts w:cstheme="minorHAnsi"/>
          <w:b/>
          <w:i/>
        </w:rPr>
      </w:pPr>
      <w:r w:rsidRPr="00FA1F76">
        <w:rPr>
          <w:rFonts w:cstheme="minorHAnsi"/>
          <w:i/>
        </w:rPr>
        <w:t xml:space="preserve">We suggest that </w:t>
      </w:r>
      <w:r>
        <w:rPr>
          <w:rFonts w:cstheme="minorHAnsi"/>
          <w:i/>
        </w:rPr>
        <w:t xml:space="preserve">the </w:t>
      </w:r>
      <w:r w:rsidRPr="00FA1F76">
        <w:rPr>
          <w:rFonts w:cstheme="minorHAnsi"/>
          <w:i/>
        </w:rPr>
        <w:t>DWC strike these sections and address these penalties through the penalty scheme recommended in section 9792.12(c)(1).</w:t>
      </w:r>
      <w:r w:rsidRPr="00FA1F76">
        <w:rPr>
          <w:rFonts w:cstheme="minorHAnsi"/>
          <w:b/>
          <w:i/>
        </w:rPr>
        <w:t xml:space="preserve">  </w:t>
      </w:r>
    </w:p>
    <w:p w:rsidR="008D0B04" w:rsidRPr="00721205" w:rsidRDefault="008D0B04" w:rsidP="00D26E87">
      <w:pPr>
        <w:ind w:left="720"/>
        <w:rPr>
          <w:rFonts w:cstheme="minorHAnsi"/>
        </w:rPr>
      </w:pPr>
    </w:p>
    <w:p w:rsidR="008D0B04" w:rsidRDefault="008D0B04" w:rsidP="00D26E87">
      <w:pPr>
        <w:rPr>
          <w:rFonts w:cstheme="minorHAnsi"/>
        </w:rPr>
      </w:pPr>
      <w:r w:rsidRPr="00721205">
        <w:rPr>
          <w:rFonts w:cstheme="minorHAnsi"/>
        </w:rPr>
        <w:t xml:space="preserve">(c)(4) For the failure to timely provide information requested by the Administrative Director under section 9792.10.3(b): $500.00 for </w:t>
      </w:r>
      <w:r w:rsidRPr="00FA1F76">
        <w:rPr>
          <w:rFonts w:cstheme="minorHAnsi"/>
          <w:strike/>
          <w:highlight w:val="yellow"/>
        </w:rPr>
        <w:t>each day the response is</w:t>
      </w:r>
      <w:r w:rsidRPr="00FA1F76">
        <w:rPr>
          <w:rFonts w:cstheme="minorHAnsi"/>
          <w:highlight w:val="yellow"/>
        </w:rPr>
        <w:t xml:space="preserve"> </w:t>
      </w:r>
      <w:r w:rsidRPr="00356FFD">
        <w:rPr>
          <w:rFonts w:cstheme="minorHAnsi"/>
          <w:highlight w:val="yellow"/>
          <w:u w:val="single"/>
        </w:rPr>
        <w:t>an</w:t>
      </w:r>
      <w:r w:rsidRPr="00721205">
        <w:rPr>
          <w:rFonts w:cstheme="minorHAnsi"/>
        </w:rPr>
        <w:t xml:space="preserve"> untimely </w:t>
      </w:r>
      <w:r w:rsidRPr="00356FFD">
        <w:rPr>
          <w:rFonts w:cstheme="minorHAnsi"/>
          <w:highlight w:val="yellow"/>
          <w:u w:val="single"/>
        </w:rPr>
        <w:t>response</w:t>
      </w:r>
      <w:r w:rsidRPr="00721205">
        <w:rPr>
          <w:rFonts w:cstheme="minorHAnsi"/>
        </w:rPr>
        <w:t xml:space="preserve"> under section 9792.10.3(c</w:t>
      </w:r>
      <w:r w:rsidRPr="00356FFD">
        <w:rPr>
          <w:rFonts w:cstheme="minorHAnsi"/>
        </w:rPr>
        <w:t>)</w:t>
      </w:r>
      <w:r w:rsidRPr="00356FFD">
        <w:rPr>
          <w:rFonts w:cstheme="minorHAnsi"/>
          <w:strike/>
          <w:highlight w:val="yellow"/>
        </w:rPr>
        <w:t>, up to a maximum of $5,000.00</w:t>
      </w:r>
      <w:r w:rsidRPr="00356FFD">
        <w:rPr>
          <w:rFonts w:cstheme="minorHAnsi"/>
          <w:highlight w:val="yellow"/>
        </w:rPr>
        <w:t>.</w:t>
      </w:r>
      <w:r w:rsidRPr="00721205">
        <w:rPr>
          <w:rFonts w:cstheme="minorHAnsi"/>
        </w:rPr>
        <w:t xml:space="preserve"> </w:t>
      </w:r>
    </w:p>
    <w:p w:rsidR="008D0B04" w:rsidRPr="00721205" w:rsidRDefault="008D0B04" w:rsidP="00D26E87">
      <w:pPr>
        <w:rPr>
          <w:rFonts w:cstheme="minorHAnsi"/>
        </w:rPr>
      </w:pPr>
    </w:p>
    <w:p w:rsidR="008D0B04" w:rsidRPr="00356FFD" w:rsidRDefault="00753B07" w:rsidP="00D26E87">
      <w:pPr>
        <w:ind w:left="720"/>
        <w:rPr>
          <w:rFonts w:cstheme="minorHAnsi"/>
          <w:i/>
        </w:rPr>
      </w:pPr>
      <w:r>
        <w:rPr>
          <w:rFonts w:cstheme="minorHAnsi"/>
          <w:i/>
        </w:rPr>
        <w:t xml:space="preserve">There is no </w:t>
      </w:r>
      <w:r w:rsidR="008D0B04" w:rsidRPr="00356FFD">
        <w:rPr>
          <w:rFonts w:cstheme="minorHAnsi"/>
          <w:i/>
        </w:rPr>
        <w:t>statutory authority for assessing penalties against a claims administrator for failing to timely provide the Administrative Director with requested information</w:t>
      </w:r>
      <w:r w:rsidR="00030E29">
        <w:rPr>
          <w:rFonts w:cstheme="minorHAnsi"/>
          <w:i/>
        </w:rPr>
        <w:t xml:space="preserve"> and there </w:t>
      </w:r>
      <w:r w:rsidR="008D0B04" w:rsidRPr="00356FFD">
        <w:rPr>
          <w:rFonts w:cstheme="minorHAnsi"/>
          <w:i/>
        </w:rPr>
        <w:t xml:space="preserve">is little need for this penalty.  If a claims administrator fails to provide the requested information, the Administrative Director may move forward with independent medical review and base the decision solely on the information already provided.  This risk already serves as a deterrent to delaying the submission of requested information.  </w:t>
      </w:r>
      <w:r w:rsidR="00030E29">
        <w:rPr>
          <w:rFonts w:cstheme="minorHAnsi"/>
          <w:i/>
        </w:rPr>
        <w:t>The Institute</w:t>
      </w:r>
      <w:r w:rsidR="008D0B04" w:rsidRPr="00356FFD">
        <w:rPr>
          <w:rFonts w:cstheme="minorHAnsi"/>
          <w:i/>
        </w:rPr>
        <w:t xml:space="preserve"> suggests a non-cumulative penalty of </w:t>
      </w:r>
      <w:r w:rsidR="00030E29">
        <w:rPr>
          <w:rFonts w:cstheme="minorHAnsi"/>
          <w:i/>
        </w:rPr>
        <w:t xml:space="preserve">no more than </w:t>
      </w:r>
      <w:r w:rsidR="008D0B04" w:rsidRPr="00356FFD">
        <w:rPr>
          <w:rFonts w:cstheme="minorHAnsi"/>
          <w:i/>
        </w:rPr>
        <w:t xml:space="preserve">$500.00. </w:t>
      </w:r>
    </w:p>
    <w:p w:rsidR="008D0B04" w:rsidRPr="00721205" w:rsidRDefault="008D0B04" w:rsidP="00D26E87">
      <w:pPr>
        <w:ind w:left="720"/>
        <w:rPr>
          <w:rFonts w:cstheme="minorHAnsi"/>
        </w:rPr>
      </w:pPr>
    </w:p>
    <w:p w:rsidR="008D0B04" w:rsidRDefault="008D0B04" w:rsidP="000C2810">
      <w:pPr>
        <w:ind w:right="-180"/>
        <w:rPr>
          <w:rFonts w:cstheme="minorHAnsi"/>
        </w:rPr>
      </w:pPr>
      <w:r w:rsidRPr="00721205">
        <w:rPr>
          <w:rFonts w:cstheme="minorHAnsi"/>
        </w:rPr>
        <w:t xml:space="preserve">(c)(7) For the failure to reimburse </w:t>
      </w:r>
      <w:r w:rsidRPr="00356FFD">
        <w:rPr>
          <w:rFonts w:cstheme="minorHAnsi"/>
          <w:highlight w:val="yellow"/>
          <w:u w:val="single"/>
        </w:rPr>
        <w:t>the reasonable amount of service in accordance with applicable fee schedules</w:t>
      </w:r>
      <w:r w:rsidRPr="00721205">
        <w:rPr>
          <w:rFonts w:cstheme="minorHAnsi"/>
        </w:rPr>
        <w:t xml:space="preserve"> for services already rendered that has been found to be medically necessary by the  independent medical review organization in the final determination issued under section 9792.10.6  within twenty (20) days after receipt of the final determination, or within twenty (20) days from the date the determination is final if an appeal of the determination has been filed under Labor Code section 4610.6(h), subject to resolution of any remaining issue of the amount of payment pursuant to Labor Code sections 4603.2 to 4603.6, inclusive: $500.00 for each day up to a maximum of $5,000.00</w:t>
      </w:r>
      <w:r>
        <w:rPr>
          <w:rFonts w:cstheme="minorHAnsi"/>
        </w:rPr>
        <w:t>.</w:t>
      </w:r>
    </w:p>
    <w:p w:rsidR="008D0B04" w:rsidRPr="00721205" w:rsidRDefault="008D0B04" w:rsidP="00D26E87">
      <w:pPr>
        <w:rPr>
          <w:rFonts w:cstheme="minorHAnsi"/>
        </w:rPr>
      </w:pPr>
    </w:p>
    <w:p w:rsidR="008D0B04" w:rsidRPr="00356FFD" w:rsidRDefault="008D0B04" w:rsidP="00D26E87">
      <w:pPr>
        <w:ind w:left="720"/>
        <w:rPr>
          <w:rFonts w:cstheme="minorHAnsi"/>
          <w:i/>
        </w:rPr>
      </w:pPr>
      <w:r w:rsidRPr="00356FFD">
        <w:rPr>
          <w:rFonts w:cstheme="minorHAnsi"/>
          <w:i/>
        </w:rPr>
        <w:t>IMR decisions determine whether a treatment is medically necessary, not the appropriateness of the amount billed for the treatment.  This section needs clarification to accommodate situations where the amount billed for treatment is in dispute.  As this section is currently drafted, a</w:t>
      </w:r>
      <w:r>
        <w:rPr>
          <w:rFonts w:cstheme="minorHAnsi"/>
          <w:i/>
        </w:rPr>
        <w:t xml:space="preserve"> claims administrator has 20</w:t>
      </w:r>
      <w:r w:rsidRPr="00356FFD">
        <w:rPr>
          <w:rFonts w:cstheme="minorHAnsi"/>
          <w:i/>
        </w:rPr>
        <w:t xml:space="preserve"> days to reimburse the provider for services rendered that have been found medically necessary by the independent medical review organization.  A dispute over the amount of payment for the service may aris</w:t>
      </w:r>
      <w:r>
        <w:rPr>
          <w:rFonts w:cstheme="minorHAnsi"/>
          <w:i/>
        </w:rPr>
        <w:t>e and continue beyond these 20</w:t>
      </w:r>
      <w:r w:rsidRPr="00356FFD">
        <w:rPr>
          <w:rFonts w:cstheme="minorHAnsi"/>
          <w:i/>
        </w:rPr>
        <w:t xml:space="preserve"> days.  In a situation where the claims administrator reimbursed the provider the reasonable amount of the service pursuant to a fee schedule - even if it is not the billed amount – the claims administrator should not face penalties.  </w:t>
      </w:r>
    </w:p>
    <w:p w:rsidR="00E1094A" w:rsidRPr="00FA1F76" w:rsidRDefault="00E1094A" w:rsidP="00D26E87">
      <w:pPr>
        <w:ind w:left="720"/>
        <w:rPr>
          <w:rFonts w:cstheme="minorHAnsi"/>
          <w:i/>
        </w:rPr>
      </w:pPr>
    </w:p>
    <w:p w:rsidR="00562A5A" w:rsidRDefault="00562A5A" w:rsidP="00577821">
      <w:pPr>
        <w:rPr>
          <w:rFonts w:ascii="Arial" w:hAnsi="Arial" w:cs="Arial"/>
          <w:sz w:val="22"/>
          <w:szCs w:val="22"/>
        </w:rPr>
      </w:pPr>
    </w:p>
    <w:p w:rsidR="00312CB1" w:rsidRDefault="00562A5A" w:rsidP="00577821">
      <w:pPr>
        <w:rPr>
          <w:sz w:val="22"/>
          <w:szCs w:val="22"/>
        </w:rPr>
      </w:pPr>
      <w:r>
        <w:rPr>
          <w:rFonts w:ascii="Arial" w:hAnsi="Arial" w:cs="Arial"/>
          <w:sz w:val="22"/>
          <w:szCs w:val="22"/>
        </w:rPr>
        <w:t>Thank</w:t>
      </w:r>
      <w:r w:rsidR="00B63D86">
        <w:rPr>
          <w:rFonts w:ascii="Arial" w:hAnsi="Arial" w:cs="Arial"/>
          <w:sz w:val="22"/>
          <w:szCs w:val="22"/>
        </w:rPr>
        <w:t xml:space="preserve"> </w:t>
      </w:r>
      <w:r>
        <w:rPr>
          <w:rFonts w:ascii="Arial" w:hAnsi="Arial" w:cs="Arial"/>
          <w:sz w:val="22"/>
          <w:szCs w:val="22"/>
        </w:rPr>
        <w:t xml:space="preserve">you for </w:t>
      </w:r>
      <w:r w:rsidR="000F134F">
        <w:rPr>
          <w:rFonts w:ascii="Arial" w:hAnsi="Arial" w:cs="Arial"/>
          <w:sz w:val="22"/>
          <w:szCs w:val="22"/>
        </w:rPr>
        <w:t xml:space="preserve">all the effort put into these regulations and for </w:t>
      </w:r>
      <w:r>
        <w:rPr>
          <w:rFonts w:ascii="Arial" w:hAnsi="Arial" w:cs="Arial"/>
          <w:sz w:val="22"/>
          <w:szCs w:val="22"/>
        </w:rPr>
        <w:t xml:space="preserve">considering </w:t>
      </w:r>
      <w:r w:rsidR="000C2810">
        <w:rPr>
          <w:rFonts w:ascii="Arial" w:hAnsi="Arial" w:cs="Arial"/>
          <w:sz w:val="22"/>
          <w:szCs w:val="22"/>
        </w:rPr>
        <w:t>our</w:t>
      </w:r>
      <w:r>
        <w:rPr>
          <w:rFonts w:ascii="Arial" w:hAnsi="Arial" w:cs="Arial"/>
          <w:sz w:val="22"/>
          <w:szCs w:val="22"/>
        </w:rPr>
        <w:t xml:space="preserve"> comments. </w:t>
      </w:r>
    </w:p>
    <w:p w:rsidR="00D11149" w:rsidRDefault="00D11149">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Sincerely, </w:t>
      </w:r>
    </w:p>
    <w:p w:rsidR="00312CB1" w:rsidRDefault="00312CB1">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p>
    <w:p w:rsidR="00B63D86" w:rsidRDefault="00B63D86">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Brenda Ramirez</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Claims and Medical Director</w:t>
      </w:r>
    </w:p>
    <w:p w:rsidR="00312CB1" w:rsidRDefault="00312CB1">
      <w:pPr>
        <w:pStyle w:val="MessageHeader"/>
        <w:tabs>
          <w:tab w:val="left" w:pos="900"/>
        </w:tabs>
        <w:spacing w:after="0" w:line="240" w:lineRule="auto"/>
        <w:ind w:left="0" w:firstLine="0"/>
        <w:rPr>
          <w:spacing w:val="0"/>
          <w:sz w:val="22"/>
          <w:szCs w:val="22"/>
        </w:rPr>
      </w:pP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BR/pm </w:t>
      </w:r>
    </w:p>
    <w:p w:rsidR="00A92004" w:rsidRDefault="00A92004">
      <w:pPr>
        <w:pStyle w:val="MessageHeader"/>
        <w:tabs>
          <w:tab w:val="left" w:pos="900"/>
        </w:tabs>
        <w:spacing w:after="0" w:line="240" w:lineRule="auto"/>
        <w:ind w:left="0" w:firstLine="0"/>
        <w:rPr>
          <w:spacing w:val="0"/>
          <w:sz w:val="22"/>
          <w:szCs w:val="22"/>
        </w:rPr>
      </w:pPr>
      <w:r>
        <w:rPr>
          <w:spacing w:val="0"/>
          <w:sz w:val="22"/>
          <w:szCs w:val="22"/>
        </w:rPr>
        <w:t>Attachments</w:t>
      </w:r>
    </w:p>
    <w:p w:rsidR="009701EB" w:rsidRDefault="009701EB">
      <w:pPr>
        <w:pStyle w:val="MessageHeader"/>
        <w:tabs>
          <w:tab w:val="left" w:pos="900"/>
        </w:tabs>
        <w:spacing w:after="0" w:line="240" w:lineRule="auto"/>
        <w:ind w:left="0" w:firstLine="0"/>
        <w:rPr>
          <w:spacing w:val="0"/>
          <w:sz w:val="22"/>
          <w:szCs w:val="22"/>
        </w:rPr>
      </w:pPr>
    </w:p>
    <w:p w:rsidR="002C1618" w:rsidRDefault="002C1618">
      <w:pPr>
        <w:pStyle w:val="MessageHeader"/>
        <w:tabs>
          <w:tab w:val="left" w:pos="900"/>
        </w:tabs>
        <w:spacing w:after="0" w:line="240" w:lineRule="auto"/>
        <w:ind w:left="0" w:firstLine="0"/>
        <w:rPr>
          <w:spacing w:val="0"/>
          <w:sz w:val="22"/>
          <w:szCs w:val="22"/>
        </w:rPr>
      </w:pPr>
    </w:p>
    <w:p w:rsidR="00F142DA" w:rsidRDefault="00312CB1">
      <w:pPr>
        <w:pStyle w:val="MessageHeader"/>
        <w:tabs>
          <w:tab w:val="left" w:pos="900"/>
        </w:tabs>
        <w:spacing w:after="0" w:line="240" w:lineRule="auto"/>
        <w:ind w:left="0" w:firstLine="0"/>
        <w:rPr>
          <w:spacing w:val="0"/>
          <w:sz w:val="22"/>
          <w:szCs w:val="22"/>
        </w:rPr>
      </w:pPr>
      <w:bookmarkStart w:id="0" w:name="_GoBack"/>
      <w:bookmarkEnd w:id="0"/>
      <w:r>
        <w:rPr>
          <w:spacing w:val="0"/>
          <w:sz w:val="22"/>
          <w:szCs w:val="22"/>
        </w:rPr>
        <w:lastRenderedPageBreak/>
        <w:t xml:space="preserve">cc:   </w:t>
      </w:r>
      <w:r w:rsidR="00F142DA">
        <w:rPr>
          <w:spacing w:val="0"/>
          <w:sz w:val="22"/>
          <w:szCs w:val="22"/>
        </w:rPr>
        <w:t xml:space="preserve">Christine Baker, DIR Director </w:t>
      </w:r>
    </w:p>
    <w:p w:rsidR="00312CB1" w:rsidRDefault="00F142DA">
      <w:pPr>
        <w:pStyle w:val="MessageHeader"/>
        <w:tabs>
          <w:tab w:val="left" w:pos="900"/>
        </w:tabs>
        <w:spacing w:after="0" w:line="240" w:lineRule="auto"/>
        <w:ind w:left="0" w:firstLine="0"/>
        <w:rPr>
          <w:spacing w:val="0"/>
          <w:sz w:val="22"/>
          <w:szCs w:val="22"/>
        </w:rPr>
      </w:pPr>
      <w:r>
        <w:rPr>
          <w:spacing w:val="0"/>
          <w:sz w:val="22"/>
          <w:szCs w:val="22"/>
        </w:rPr>
        <w:t xml:space="preserve">        </w:t>
      </w:r>
      <w:r w:rsidR="00C45F23">
        <w:rPr>
          <w:spacing w:val="0"/>
          <w:sz w:val="22"/>
          <w:szCs w:val="22"/>
        </w:rPr>
        <w:t>Destie Overpeck</w:t>
      </w:r>
      <w:r w:rsidR="00312CB1">
        <w:rPr>
          <w:spacing w:val="0"/>
          <w:sz w:val="22"/>
          <w:szCs w:val="22"/>
        </w:rPr>
        <w:t>, DWC Acting Administrative Director</w:t>
      </w:r>
    </w:p>
    <w:p w:rsidR="00F142DA" w:rsidRDefault="00E20EF1">
      <w:pPr>
        <w:pStyle w:val="MessageHeader"/>
        <w:tabs>
          <w:tab w:val="left" w:pos="900"/>
        </w:tabs>
        <w:spacing w:after="0" w:line="240" w:lineRule="auto"/>
        <w:ind w:left="0" w:firstLine="0"/>
        <w:rPr>
          <w:spacing w:val="0"/>
          <w:sz w:val="22"/>
          <w:szCs w:val="22"/>
        </w:rPr>
      </w:pPr>
      <w:r>
        <w:rPr>
          <w:spacing w:val="0"/>
          <w:sz w:val="22"/>
          <w:szCs w:val="22"/>
        </w:rPr>
        <w:t xml:space="preserve">        </w:t>
      </w:r>
      <w:r w:rsidR="002C1618">
        <w:rPr>
          <w:spacing w:val="0"/>
          <w:sz w:val="22"/>
          <w:szCs w:val="22"/>
        </w:rPr>
        <w:t>Dr. Das Ru</w:t>
      </w:r>
      <w:r w:rsidR="00F142DA">
        <w:rPr>
          <w:spacing w:val="0"/>
          <w:sz w:val="22"/>
          <w:szCs w:val="22"/>
        </w:rPr>
        <w:t xml:space="preserve">pali, DWC </w:t>
      </w:r>
      <w:r w:rsidR="00EF4F1E">
        <w:rPr>
          <w:spacing w:val="0"/>
          <w:sz w:val="22"/>
          <w:szCs w:val="22"/>
        </w:rPr>
        <w:t xml:space="preserve">Executive </w:t>
      </w:r>
      <w:r w:rsidR="00F142DA">
        <w:rPr>
          <w:spacing w:val="0"/>
          <w:sz w:val="22"/>
          <w:szCs w:val="22"/>
        </w:rPr>
        <w:t>Medical Director</w:t>
      </w:r>
    </w:p>
    <w:p w:rsidR="00312CB1" w:rsidRDefault="00F142DA">
      <w:pPr>
        <w:pStyle w:val="MessageHeader"/>
        <w:tabs>
          <w:tab w:val="left" w:pos="900"/>
        </w:tabs>
        <w:spacing w:after="0" w:line="240" w:lineRule="auto"/>
        <w:ind w:left="0" w:firstLine="0"/>
        <w:rPr>
          <w:spacing w:val="0"/>
          <w:sz w:val="22"/>
          <w:szCs w:val="22"/>
        </w:rPr>
      </w:pPr>
      <w:r>
        <w:rPr>
          <w:spacing w:val="0"/>
          <w:sz w:val="22"/>
          <w:szCs w:val="22"/>
        </w:rPr>
        <w:t xml:space="preserve">        </w:t>
      </w:r>
      <w:r w:rsidR="00312CB1">
        <w:rPr>
          <w:spacing w:val="0"/>
          <w:sz w:val="22"/>
          <w:szCs w:val="22"/>
        </w:rPr>
        <w:t>CWCI Claims Committee</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        CWCI Medical Care Committee</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        CWCI Legal Committee</w:t>
      </w:r>
    </w:p>
    <w:p w:rsidR="00312CB1" w:rsidRDefault="00312CB1">
      <w:pPr>
        <w:pStyle w:val="MessageHeader"/>
        <w:tabs>
          <w:tab w:val="left" w:pos="900"/>
        </w:tabs>
        <w:spacing w:after="0" w:line="240" w:lineRule="auto"/>
        <w:ind w:left="0" w:firstLine="0"/>
        <w:rPr>
          <w:spacing w:val="0"/>
          <w:sz w:val="22"/>
          <w:szCs w:val="22"/>
        </w:rPr>
      </w:pPr>
      <w:r>
        <w:rPr>
          <w:spacing w:val="0"/>
          <w:sz w:val="22"/>
          <w:szCs w:val="22"/>
        </w:rPr>
        <w:t xml:space="preserve">        CWCI Regular Members</w:t>
      </w:r>
    </w:p>
    <w:p w:rsidR="00E17327" w:rsidRDefault="00312CB1" w:rsidP="00E538DF">
      <w:pPr>
        <w:pStyle w:val="MessageHeader"/>
        <w:tabs>
          <w:tab w:val="left" w:pos="900"/>
        </w:tabs>
        <w:spacing w:after="0" w:line="240" w:lineRule="auto"/>
        <w:ind w:left="0" w:firstLine="0"/>
        <w:rPr>
          <w:spacing w:val="0"/>
          <w:sz w:val="22"/>
          <w:szCs w:val="22"/>
        </w:rPr>
      </w:pPr>
      <w:r>
        <w:rPr>
          <w:spacing w:val="0"/>
          <w:sz w:val="22"/>
          <w:szCs w:val="22"/>
        </w:rPr>
        <w:t xml:space="preserve">        CWCI Associate Members </w:t>
      </w:r>
    </w:p>
    <w:p w:rsidR="00E17327" w:rsidRDefault="004936C9" w:rsidP="00E538DF">
      <w:pPr>
        <w:pStyle w:val="MessageHeader"/>
        <w:tabs>
          <w:tab w:val="left" w:pos="900"/>
        </w:tabs>
        <w:spacing w:after="0" w:line="240" w:lineRule="auto"/>
        <w:ind w:left="0" w:firstLine="0"/>
        <w:rPr>
          <w:spacing w:val="0"/>
          <w:sz w:val="22"/>
          <w:szCs w:val="22"/>
        </w:rPr>
      </w:pPr>
      <w:r>
        <w:rPr>
          <w:spacing w:val="0"/>
          <w:sz w:val="22"/>
          <w:szCs w:val="22"/>
        </w:rPr>
        <w:t xml:space="preserve">        </w:t>
      </w:r>
      <w:r w:rsidR="00E17327">
        <w:rPr>
          <w:spacing w:val="0"/>
          <w:sz w:val="22"/>
          <w:szCs w:val="22"/>
        </w:rPr>
        <w:t>California Chamber of Commerce</w:t>
      </w:r>
    </w:p>
    <w:p w:rsidR="00CC3ACF" w:rsidRDefault="00E17327" w:rsidP="00E538DF">
      <w:pPr>
        <w:pStyle w:val="MessageHeader"/>
        <w:tabs>
          <w:tab w:val="left" w:pos="900"/>
        </w:tabs>
        <w:spacing w:after="0" w:line="240" w:lineRule="auto"/>
        <w:ind w:left="0" w:firstLine="0"/>
        <w:rPr>
          <w:bCs/>
          <w:spacing w:val="0"/>
          <w:sz w:val="22"/>
          <w:szCs w:val="22"/>
          <w:lang w:val="en"/>
        </w:rPr>
      </w:pPr>
      <w:r>
        <w:rPr>
          <w:spacing w:val="0"/>
          <w:sz w:val="22"/>
          <w:szCs w:val="22"/>
        </w:rPr>
        <w:t xml:space="preserve">        </w:t>
      </w:r>
      <w:r w:rsidR="00CC3ACF" w:rsidRPr="00CC3ACF">
        <w:rPr>
          <w:bCs/>
          <w:spacing w:val="0"/>
          <w:sz w:val="22"/>
          <w:szCs w:val="22"/>
          <w:lang w:val="en"/>
        </w:rPr>
        <w:t>California Coalition on Workers' Compensation</w:t>
      </w:r>
    </w:p>
    <w:p w:rsidR="004936C9" w:rsidRDefault="00C06631" w:rsidP="00E538DF">
      <w:pPr>
        <w:pStyle w:val="MessageHeader"/>
        <w:tabs>
          <w:tab w:val="left" w:pos="900"/>
        </w:tabs>
        <w:spacing w:after="0" w:line="240" w:lineRule="auto"/>
        <w:ind w:left="0" w:firstLine="0"/>
        <w:rPr>
          <w:sz w:val="22"/>
          <w:szCs w:val="22"/>
        </w:rPr>
      </w:pPr>
      <w:r>
        <w:rPr>
          <w:spacing w:val="0"/>
          <w:sz w:val="22"/>
          <w:szCs w:val="22"/>
        </w:rPr>
        <w:t xml:space="preserve"> </w:t>
      </w:r>
      <w:r w:rsidR="004936C9">
        <w:rPr>
          <w:spacing w:val="0"/>
          <w:sz w:val="22"/>
          <w:szCs w:val="22"/>
        </w:rPr>
        <w:t xml:space="preserve"> </w:t>
      </w:r>
      <w:r w:rsidR="00CC3ACF">
        <w:rPr>
          <w:spacing w:val="0"/>
          <w:sz w:val="22"/>
          <w:szCs w:val="22"/>
        </w:rPr>
        <w:t xml:space="preserve">      </w:t>
      </w:r>
      <w:r w:rsidR="00CC3ACF" w:rsidRPr="00CC3ACF">
        <w:rPr>
          <w:spacing w:val="0"/>
          <w:sz w:val="22"/>
          <w:szCs w:val="22"/>
          <w:lang w:val="en"/>
        </w:rPr>
        <w:t>American Insurance Association</w:t>
      </w:r>
    </w:p>
    <w:sectPr w:rsidR="004936C9" w:rsidSect="00FC5437">
      <w:footerReference w:type="even" r:id="rId12"/>
      <w:footerReference w:type="default" r:id="rId13"/>
      <w:pgSz w:w="12240" w:h="15840" w:code="1"/>
      <w:pgMar w:top="1440" w:right="1800" w:bottom="-1260" w:left="1800" w:header="965"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CD" w:rsidRDefault="00C47ACD">
      <w:r>
        <w:separator/>
      </w:r>
    </w:p>
  </w:endnote>
  <w:endnote w:type="continuationSeparator" w:id="0">
    <w:p w:rsidR="00C47ACD" w:rsidRDefault="00C4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ill Sans MT">
    <w:altName w:val="Century Gothic"/>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EA" w:rsidRDefault="00F40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0BEA" w:rsidRDefault="00F40B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EA" w:rsidRDefault="00F40BEA">
    <w:pPr>
      <w:pStyle w:val="Footer"/>
      <w:jc w:val="right"/>
    </w:pPr>
    <w:r>
      <w:fldChar w:fldCharType="begin"/>
    </w:r>
    <w:r>
      <w:instrText xml:space="preserve"> PAGE   \* MERGEFORMAT </w:instrText>
    </w:r>
    <w:r>
      <w:fldChar w:fldCharType="separate"/>
    </w:r>
    <w:r w:rsidR="00A92004">
      <w:rPr>
        <w:noProof/>
      </w:rPr>
      <w:t>21</w:t>
    </w:r>
    <w:r>
      <w:rPr>
        <w:noProof/>
      </w:rPr>
      <w:fldChar w:fldCharType="end"/>
    </w:r>
  </w:p>
  <w:p w:rsidR="00F40BEA" w:rsidRDefault="00F40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CD" w:rsidRDefault="00C47ACD">
      <w:r>
        <w:separator/>
      </w:r>
    </w:p>
  </w:footnote>
  <w:footnote w:type="continuationSeparator" w:id="0">
    <w:p w:rsidR="00C47ACD" w:rsidRDefault="00C4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400215"/>
    <w:multiLevelType w:val="hybridMultilevel"/>
    <w:tmpl w:val="210052C6"/>
    <w:lvl w:ilvl="0" w:tplc="096E13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D36F1A"/>
    <w:multiLevelType w:val="multilevel"/>
    <w:tmpl w:val="08F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142C7E"/>
    <w:multiLevelType w:val="hybridMultilevel"/>
    <w:tmpl w:val="1758F9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7125B0"/>
    <w:multiLevelType w:val="multilevel"/>
    <w:tmpl w:val="2B9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68350F"/>
    <w:multiLevelType w:val="hybridMultilevel"/>
    <w:tmpl w:val="9E98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039D1"/>
    <w:multiLevelType w:val="singleLevel"/>
    <w:tmpl w:val="C2E0BEDC"/>
    <w:lvl w:ilvl="0">
      <w:start w:val="1"/>
      <w:numFmt w:val="bullet"/>
      <w:lvlText w:val=""/>
      <w:lvlJc w:val="left"/>
      <w:pPr>
        <w:tabs>
          <w:tab w:val="num" w:pos="360"/>
        </w:tabs>
        <w:ind w:left="360" w:hanging="360"/>
      </w:pPr>
      <w:rPr>
        <w:rFonts w:ascii="Symbol" w:hAnsi="Symbol" w:hint="default"/>
      </w:rPr>
    </w:lvl>
  </w:abstractNum>
  <w:abstractNum w:abstractNumId="7">
    <w:nsid w:val="125F71DE"/>
    <w:multiLevelType w:val="hybridMultilevel"/>
    <w:tmpl w:val="7BA0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B2037"/>
    <w:multiLevelType w:val="singleLevel"/>
    <w:tmpl w:val="9CDC440A"/>
    <w:lvl w:ilvl="0">
      <w:start w:val="1"/>
      <w:numFmt w:val="bullet"/>
      <w:pStyle w:val="ListBullet2"/>
      <w:lvlText w:val=""/>
      <w:lvlJc w:val="left"/>
      <w:pPr>
        <w:tabs>
          <w:tab w:val="num" w:pos="360"/>
        </w:tabs>
        <w:ind w:left="360" w:hanging="360"/>
      </w:pPr>
      <w:rPr>
        <w:rFonts w:ascii="Symbol" w:hAnsi="Symbol" w:hint="default"/>
      </w:rPr>
    </w:lvl>
  </w:abstractNum>
  <w:abstractNum w:abstractNumId="9">
    <w:nsid w:val="16002F6B"/>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10">
    <w:nsid w:val="167414B7"/>
    <w:multiLevelType w:val="multilevel"/>
    <w:tmpl w:val="DB74A76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6771288"/>
    <w:multiLevelType w:val="hybridMultilevel"/>
    <w:tmpl w:val="5D16A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C655B4"/>
    <w:multiLevelType w:val="multilevel"/>
    <w:tmpl w:val="4ECC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D55413"/>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14">
    <w:nsid w:val="222F2470"/>
    <w:multiLevelType w:val="hybridMultilevel"/>
    <w:tmpl w:val="441664AA"/>
    <w:lvl w:ilvl="0" w:tplc="2362D5E6">
      <w:start w:val="1"/>
      <w:numFmt w:val="bullet"/>
      <w:lvlText w:val=""/>
      <w:lvlJc w:val="left"/>
      <w:pPr>
        <w:tabs>
          <w:tab w:val="num" w:pos="720"/>
        </w:tabs>
        <w:ind w:left="720" w:hanging="360"/>
      </w:pPr>
      <w:rPr>
        <w:rFonts w:ascii="Wingdings" w:hAnsi="Wingdings" w:hint="default"/>
      </w:rPr>
    </w:lvl>
    <w:lvl w:ilvl="1" w:tplc="5FFA7E4E" w:tentative="1">
      <w:start w:val="1"/>
      <w:numFmt w:val="bullet"/>
      <w:lvlText w:val=""/>
      <w:lvlJc w:val="left"/>
      <w:pPr>
        <w:tabs>
          <w:tab w:val="num" w:pos="1440"/>
        </w:tabs>
        <w:ind w:left="1440" w:hanging="360"/>
      </w:pPr>
      <w:rPr>
        <w:rFonts w:ascii="Wingdings" w:hAnsi="Wingdings" w:hint="default"/>
      </w:rPr>
    </w:lvl>
    <w:lvl w:ilvl="2" w:tplc="ECD2CA8C" w:tentative="1">
      <w:start w:val="1"/>
      <w:numFmt w:val="bullet"/>
      <w:lvlText w:val=""/>
      <w:lvlJc w:val="left"/>
      <w:pPr>
        <w:tabs>
          <w:tab w:val="num" w:pos="2160"/>
        </w:tabs>
        <w:ind w:left="2160" w:hanging="360"/>
      </w:pPr>
      <w:rPr>
        <w:rFonts w:ascii="Wingdings" w:hAnsi="Wingdings" w:hint="default"/>
      </w:rPr>
    </w:lvl>
    <w:lvl w:ilvl="3" w:tplc="EAF8EECE" w:tentative="1">
      <w:start w:val="1"/>
      <w:numFmt w:val="bullet"/>
      <w:lvlText w:val=""/>
      <w:lvlJc w:val="left"/>
      <w:pPr>
        <w:tabs>
          <w:tab w:val="num" w:pos="2880"/>
        </w:tabs>
        <w:ind w:left="2880" w:hanging="360"/>
      </w:pPr>
      <w:rPr>
        <w:rFonts w:ascii="Wingdings" w:hAnsi="Wingdings" w:hint="default"/>
      </w:rPr>
    </w:lvl>
    <w:lvl w:ilvl="4" w:tplc="F3745F94" w:tentative="1">
      <w:start w:val="1"/>
      <w:numFmt w:val="bullet"/>
      <w:lvlText w:val=""/>
      <w:lvlJc w:val="left"/>
      <w:pPr>
        <w:tabs>
          <w:tab w:val="num" w:pos="3600"/>
        </w:tabs>
        <w:ind w:left="3600" w:hanging="360"/>
      </w:pPr>
      <w:rPr>
        <w:rFonts w:ascii="Wingdings" w:hAnsi="Wingdings" w:hint="default"/>
      </w:rPr>
    </w:lvl>
    <w:lvl w:ilvl="5" w:tplc="4F420D80" w:tentative="1">
      <w:start w:val="1"/>
      <w:numFmt w:val="bullet"/>
      <w:lvlText w:val=""/>
      <w:lvlJc w:val="left"/>
      <w:pPr>
        <w:tabs>
          <w:tab w:val="num" w:pos="4320"/>
        </w:tabs>
        <w:ind w:left="4320" w:hanging="360"/>
      </w:pPr>
      <w:rPr>
        <w:rFonts w:ascii="Wingdings" w:hAnsi="Wingdings" w:hint="default"/>
      </w:rPr>
    </w:lvl>
    <w:lvl w:ilvl="6" w:tplc="3D600C10" w:tentative="1">
      <w:start w:val="1"/>
      <w:numFmt w:val="bullet"/>
      <w:lvlText w:val=""/>
      <w:lvlJc w:val="left"/>
      <w:pPr>
        <w:tabs>
          <w:tab w:val="num" w:pos="5040"/>
        </w:tabs>
        <w:ind w:left="5040" w:hanging="360"/>
      </w:pPr>
      <w:rPr>
        <w:rFonts w:ascii="Wingdings" w:hAnsi="Wingdings" w:hint="default"/>
      </w:rPr>
    </w:lvl>
    <w:lvl w:ilvl="7" w:tplc="FD88E03C" w:tentative="1">
      <w:start w:val="1"/>
      <w:numFmt w:val="bullet"/>
      <w:lvlText w:val=""/>
      <w:lvlJc w:val="left"/>
      <w:pPr>
        <w:tabs>
          <w:tab w:val="num" w:pos="5760"/>
        </w:tabs>
        <w:ind w:left="5760" w:hanging="360"/>
      </w:pPr>
      <w:rPr>
        <w:rFonts w:ascii="Wingdings" w:hAnsi="Wingdings" w:hint="default"/>
      </w:rPr>
    </w:lvl>
    <w:lvl w:ilvl="8" w:tplc="DE3662A8" w:tentative="1">
      <w:start w:val="1"/>
      <w:numFmt w:val="bullet"/>
      <w:lvlText w:val=""/>
      <w:lvlJc w:val="left"/>
      <w:pPr>
        <w:tabs>
          <w:tab w:val="num" w:pos="6480"/>
        </w:tabs>
        <w:ind w:left="6480" w:hanging="360"/>
      </w:pPr>
      <w:rPr>
        <w:rFonts w:ascii="Wingdings" w:hAnsi="Wingdings" w:hint="default"/>
      </w:rPr>
    </w:lvl>
  </w:abstractNum>
  <w:abstractNum w:abstractNumId="15">
    <w:nsid w:val="233A17B9"/>
    <w:multiLevelType w:val="hybridMultilevel"/>
    <w:tmpl w:val="362CC5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A26858"/>
    <w:multiLevelType w:val="multilevel"/>
    <w:tmpl w:val="8028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BD6BC7"/>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18">
    <w:nsid w:val="2A734816"/>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19">
    <w:nsid w:val="2C044622"/>
    <w:multiLevelType w:val="hybridMultilevel"/>
    <w:tmpl w:val="AA9A400E"/>
    <w:lvl w:ilvl="0" w:tplc="2AAC7108">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00C0417"/>
    <w:multiLevelType w:val="hybridMultilevel"/>
    <w:tmpl w:val="1BC806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0A72C27"/>
    <w:multiLevelType w:val="hybridMultilevel"/>
    <w:tmpl w:val="0A967D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31971DA5"/>
    <w:multiLevelType w:val="hybridMultilevel"/>
    <w:tmpl w:val="11485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313A48"/>
    <w:multiLevelType w:val="multilevel"/>
    <w:tmpl w:val="5BE0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1C01C7"/>
    <w:multiLevelType w:val="hybridMultilevel"/>
    <w:tmpl w:val="A7EE08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A8478E"/>
    <w:multiLevelType w:val="multilevel"/>
    <w:tmpl w:val="958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C83796"/>
    <w:multiLevelType w:val="multilevel"/>
    <w:tmpl w:val="76C0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9984D4C"/>
    <w:multiLevelType w:val="hybridMultilevel"/>
    <w:tmpl w:val="B232D92A"/>
    <w:lvl w:ilvl="0" w:tplc="CF628758">
      <w:start w:val="1"/>
      <w:numFmt w:val="lowerRoman"/>
      <w:lvlText w:val="(%1)"/>
      <w:lvlJc w:val="left"/>
      <w:pPr>
        <w:ind w:left="1128" w:hanging="72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8">
    <w:nsid w:val="3ACC76F9"/>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29">
    <w:nsid w:val="3F8D3AD6"/>
    <w:multiLevelType w:val="hybridMultilevel"/>
    <w:tmpl w:val="B3FA3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E3015D"/>
    <w:multiLevelType w:val="hybridMultilevel"/>
    <w:tmpl w:val="10086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871962"/>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32">
    <w:nsid w:val="49D959E3"/>
    <w:multiLevelType w:val="hybridMultilevel"/>
    <w:tmpl w:val="6AC0B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F91EC9"/>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34">
    <w:nsid w:val="4A3D3862"/>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35">
    <w:nsid w:val="4A6D07A8"/>
    <w:multiLevelType w:val="hybridMultilevel"/>
    <w:tmpl w:val="BF1A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5A10DB"/>
    <w:multiLevelType w:val="hybridMultilevel"/>
    <w:tmpl w:val="88941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CF922B4"/>
    <w:multiLevelType w:val="hybridMultilevel"/>
    <w:tmpl w:val="0DDC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CFC2FFA"/>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39">
    <w:nsid w:val="4EF55FC8"/>
    <w:multiLevelType w:val="multilevel"/>
    <w:tmpl w:val="32FA1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nsid w:val="5094096A"/>
    <w:multiLevelType w:val="hybridMultilevel"/>
    <w:tmpl w:val="BFB621AC"/>
    <w:lvl w:ilvl="0" w:tplc="B04C00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3F17AE3"/>
    <w:multiLevelType w:val="hybridMultilevel"/>
    <w:tmpl w:val="F5A4415C"/>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55D463DD"/>
    <w:multiLevelType w:val="multilevel"/>
    <w:tmpl w:val="CFE2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7BC1B06"/>
    <w:multiLevelType w:val="hybridMultilevel"/>
    <w:tmpl w:val="E00CB79A"/>
    <w:lvl w:ilvl="0" w:tplc="D4820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0465E5"/>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45">
    <w:nsid w:val="59A555F9"/>
    <w:multiLevelType w:val="multilevel"/>
    <w:tmpl w:val="0E9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9DF0C03"/>
    <w:multiLevelType w:val="hybridMultilevel"/>
    <w:tmpl w:val="59E417FE"/>
    <w:lvl w:ilvl="0" w:tplc="8CFE8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CCD70E8"/>
    <w:multiLevelType w:val="hybridMultilevel"/>
    <w:tmpl w:val="E562759A"/>
    <w:lvl w:ilvl="0" w:tplc="2B0CD9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287E4A"/>
    <w:multiLevelType w:val="singleLevel"/>
    <w:tmpl w:val="E4D8C658"/>
    <w:lvl w:ilvl="0">
      <w:start w:val="1"/>
      <w:numFmt w:val="bullet"/>
      <w:lvlText w:val=""/>
      <w:lvlJc w:val="left"/>
      <w:pPr>
        <w:tabs>
          <w:tab w:val="num" w:pos="720"/>
        </w:tabs>
        <w:ind w:left="360" w:firstLine="0"/>
      </w:pPr>
      <w:rPr>
        <w:rFonts w:ascii="Symbol" w:hAnsi="Symbol" w:hint="default"/>
      </w:rPr>
    </w:lvl>
  </w:abstractNum>
  <w:abstractNum w:abstractNumId="49">
    <w:nsid w:val="63A86D2F"/>
    <w:multiLevelType w:val="multilevel"/>
    <w:tmpl w:val="C406A46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6B9E5499"/>
    <w:multiLevelType w:val="hybridMultilevel"/>
    <w:tmpl w:val="086C71E4"/>
    <w:lvl w:ilvl="0" w:tplc="36945E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1E77B96"/>
    <w:multiLevelType w:val="hybridMultilevel"/>
    <w:tmpl w:val="1B32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9F1342"/>
    <w:multiLevelType w:val="hybridMultilevel"/>
    <w:tmpl w:val="90D47C30"/>
    <w:lvl w:ilvl="0" w:tplc="CF4AC2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5267C83"/>
    <w:multiLevelType w:val="multilevel"/>
    <w:tmpl w:val="0A70B20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7598199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5">
    <w:nsid w:val="76487FEE"/>
    <w:multiLevelType w:val="hybridMultilevel"/>
    <w:tmpl w:val="B78E6E58"/>
    <w:lvl w:ilvl="0" w:tplc="D9C60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7F710AE"/>
    <w:multiLevelType w:val="multilevel"/>
    <w:tmpl w:val="1E5E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F74B39"/>
    <w:multiLevelType w:val="hybridMultilevel"/>
    <w:tmpl w:val="32B80E34"/>
    <w:lvl w:ilvl="0" w:tplc="FFFFFFFF">
      <w:start w:val="1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nsid w:val="7C3A02D2"/>
    <w:multiLevelType w:val="hybridMultilevel"/>
    <w:tmpl w:val="BE28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22"/>
  </w:num>
  <w:num w:numId="4">
    <w:abstractNumId w:val="15"/>
  </w:num>
  <w:num w:numId="5">
    <w:abstractNumId w:val="36"/>
  </w:num>
  <w:num w:numId="6">
    <w:abstractNumId w:val="45"/>
  </w:num>
  <w:num w:numId="7">
    <w:abstractNumId w:val="12"/>
  </w:num>
  <w:num w:numId="8">
    <w:abstractNumId w:val="2"/>
  </w:num>
  <w:num w:numId="9">
    <w:abstractNumId w:val="56"/>
  </w:num>
  <w:num w:numId="10">
    <w:abstractNumId w:val="4"/>
  </w:num>
  <w:num w:numId="11">
    <w:abstractNumId w:val="23"/>
  </w:num>
  <w:num w:numId="12">
    <w:abstractNumId w:val="25"/>
  </w:num>
  <w:num w:numId="13">
    <w:abstractNumId w:val="11"/>
  </w:num>
  <w:num w:numId="14">
    <w:abstractNumId w:val="41"/>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0"/>
    <w:lvlOverride w:ilvl="0">
      <w:lvl w:ilvl="0">
        <w:start w:val="1"/>
        <w:numFmt w:val="bullet"/>
        <w:lvlText w:val="•"/>
        <w:legacy w:legacy="1" w:legacySpace="0" w:legacyIndent="720"/>
        <w:lvlJc w:val="left"/>
        <w:pPr>
          <w:ind w:left="720" w:hanging="720"/>
        </w:pPr>
        <w:rPr>
          <w:rFonts w:ascii="Times" w:hAnsi="Times" w:hint="default"/>
        </w:rPr>
      </w:lvl>
    </w:lvlOverride>
  </w:num>
  <w:num w:numId="17">
    <w:abstractNumId w:val="57"/>
  </w:num>
  <w:num w:numId="18">
    <w:abstractNumId w:val="54"/>
  </w:num>
  <w:num w:numId="19">
    <w:abstractNumId w:val="6"/>
  </w:num>
  <w:num w:numId="20">
    <w:abstractNumId w:val="9"/>
  </w:num>
  <w:num w:numId="21">
    <w:abstractNumId w:val="33"/>
  </w:num>
  <w:num w:numId="22">
    <w:abstractNumId w:val="31"/>
  </w:num>
  <w:num w:numId="23">
    <w:abstractNumId w:val="34"/>
  </w:num>
  <w:num w:numId="24">
    <w:abstractNumId w:val="48"/>
  </w:num>
  <w:num w:numId="25">
    <w:abstractNumId w:val="18"/>
  </w:num>
  <w:num w:numId="26">
    <w:abstractNumId w:val="13"/>
  </w:num>
  <w:num w:numId="27">
    <w:abstractNumId w:val="17"/>
  </w:num>
  <w:num w:numId="28">
    <w:abstractNumId w:val="8"/>
  </w:num>
  <w:num w:numId="29">
    <w:abstractNumId w:val="28"/>
  </w:num>
  <w:num w:numId="30">
    <w:abstractNumId w:val="44"/>
  </w:num>
  <w:num w:numId="31">
    <w:abstractNumId w:val="38"/>
  </w:num>
  <w:num w:numId="32">
    <w:abstractNumId w:val="39"/>
  </w:num>
  <w:num w:numId="33">
    <w:abstractNumId w:val="53"/>
  </w:num>
  <w:num w:numId="34">
    <w:abstractNumId w:val="42"/>
  </w:num>
  <w:num w:numId="35">
    <w:abstractNumId w:val="49"/>
  </w:num>
  <w:num w:numId="36">
    <w:abstractNumId w:val="16"/>
  </w:num>
  <w:num w:numId="37">
    <w:abstractNumId w:val="10"/>
  </w:num>
  <w:num w:numId="38">
    <w:abstractNumId w:val="26"/>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num>
  <w:num w:numId="41">
    <w:abstractNumId w:val="46"/>
  </w:num>
  <w:num w:numId="42">
    <w:abstractNumId w:val="43"/>
  </w:num>
  <w:num w:numId="43">
    <w:abstractNumId w:val="47"/>
  </w:num>
  <w:num w:numId="44">
    <w:abstractNumId w:val="50"/>
  </w:num>
  <w:num w:numId="45">
    <w:abstractNumId w:val="27"/>
  </w:num>
  <w:num w:numId="46">
    <w:abstractNumId w:val="35"/>
  </w:num>
  <w:num w:numId="47">
    <w:abstractNumId w:val="30"/>
  </w:num>
  <w:num w:numId="48">
    <w:abstractNumId w:val="58"/>
  </w:num>
  <w:num w:numId="49">
    <w:abstractNumId w:val="51"/>
  </w:num>
  <w:num w:numId="50">
    <w:abstractNumId w:val="7"/>
  </w:num>
  <w:num w:numId="51">
    <w:abstractNumId w:val="29"/>
  </w:num>
  <w:num w:numId="52">
    <w:abstractNumId w:val="37"/>
  </w:num>
  <w:num w:numId="53">
    <w:abstractNumId w:val="5"/>
  </w:num>
  <w:num w:numId="54">
    <w:abstractNumId w:val="40"/>
  </w:num>
  <w:num w:numId="55">
    <w:abstractNumId w:val="3"/>
  </w:num>
  <w:num w:numId="56">
    <w:abstractNumId w:val="52"/>
  </w:num>
  <w:num w:numId="57">
    <w:abstractNumId w:val="19"/>
  </w:num>
  <w:num w:numId="58">
    <w:abstractNumId w:val="21"/>
  </w:num>
  <w:num w:numId="59">
    <w:abstractNumId w:val="24"/>
  </w:num>
  <w:num w:numId="60">
    <w:abstractNumId w:val="24"/>
  </w:num>
  <w:num w:numId="6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04"/>
    <w:rsid w:val="0000093E"/>
    <w:rsid w:val="00001D52"/>
    <w:rsid w:val="000022DB"/>
    <w:rsid w:val="00003BFB"/>
    <w:rsid w:val="000047A3"/>
    <w:rsid w:val="00005D6D"/>
    <w:rsid w:val="000125F7"/>
    <w:rsid w:val="00013201"/>
    <w:rsid w:val="00013D4E"/>
    <w:rsid w:val="0001606C"/>
    <w:rsid w:val="000163EF"/>
    <w:rsid w:val="000178AF"/>
    <w:rsid w:val="00017F49"/>
    <w:rsid w:val="00021F8F"/>
    <w:rsid w:val="00027AFC"/>
    <w:rsid w:val="00030E29"/>
    <w:rsid w:val="000334F5"/>
    <w:rsid w:val="00036D2E"/>
    <w:rsid w:val="00036DE1"/>
    <w:rsid w:val="000419D7"/>
    <w:rsid w:val="0004292E"/>
    <w:rsid w:val="0004462B"/>
    <w:rsid w:val="00046A4E"/>
    <w:rsid w:val="000475DE"/>
    <w:rsid w:val="0004775B"/>
    <w:rsid w:val="000535FF"/>
    <w:rsid w:val="00055E13"/>
    <w:rsid w:val="0005624C"/>
    <w:rsid w:val="00057D56"/>
    <w:rsid w:val="000636AB"/>
    <w:rsid w:val="00063BC9"/>
    <w:rsid w:val="00065AFA"/>
    <w:rsid w:val="00071D59"/>
    <w:rsid w:val="0007245B"/>
    <w:rsid w:val="00073AC9"/>
    <w:rsid w:val="00081F19"/>
    <w:rsid w:val="00084076"/>
    <w:rsid w:val="0008592E"/>
    <w:rsid w:val="0008606D"/>
    <w:rsid w:val="000863AA"/>
    <w:rsid w:val="0008762A"/>
    <w:rsid w:val="00090F3B"/>
    <w:rsid w:val="000914C6"/>
    <w:rsid w:val="000919D0"/>
    <w:rsid w:val="00092008"/>
    <w:rsid w:val="000A0F64"/>
    <w:rsid w:val="000A26FE"/>
    <w:rsid w:val="000A40B9"/>
    <w:rsid w:val="000A79BF"/>
    <w:rsid w:val="000A7A09"/>
    <w:rsid w:val="000B0327"/>
    <w:rsid w:val="000B18D5"/>
    <w:rsid w:val="000B39C0"/>
    <w:rsid w:val="000B517A"/>
    <w:rsid w:val="000C1DCB"/>
    <w:rsid w:val="000C2810"/>
    <w:rsid w:val="000C54A1"/>
    <w:rsid w:val="000C7F17"/>
    <w:rsid w:val="000D1B72"/>
    <w:rsid w:val="000D1D92"/>
    <w:rsid w:val="000D395C"/>
    <w:rsid w:val="000D7279"/>
    <w:rsid w:val="000E08A3"/>
    <w:rsid w:val="000E4478"/>
    <w:rsid w:val="000F134F"/>
    <w:rsid w:val="000F437D"/>
    <w:rsid w:val="000F57E0"/>
    <w:rsid w:val="001016E2"/>
    <w:rsid w:val="001062FF"/>
    <w:rsid w:val="00107E90"/>
    <w:rsid w:val="00110B9A"/>
    <w:rsid w:val="00112385"/>
    <w:rsid w:val="00116792"/>
    <w:rsid w:val="00117C5B"/>
    <w:rsid w:val="00120539"/>
    <w:rsid w:val="00121E2A"/>
    <w:rsid w:val="00131BA1"/>
    <w:rsid w:val="00131C98"/>
    <w:rsid w:val="00131E12"/>
    <w:rsid w:val="00133D3D"/>
    <w:rsid w:val="00140C35"/>
    <w:rsid w:val="00144200"/>
    <w:rsid w:val="0014508C"/>
    <w:rsid w:val="00145C46"/>
    <w:rsid w:val="001503D4"/>
    <w:rsid w:val="00151523"/>
    <w:rsid w:val="00151ED0"/>
    <w:rsid w:val="0015580C"/>
    <w:rsid w:val="00165F29"/>
    <w:rsid w:val="00173C0B"/>
    <w:rsid w:val="00174D60"/>
    <w:rsid w:val="00187561"/>
    <w:rsid w:val="00191D80"/>
    <w:rsid w:val="001945AA"/>
    <w:rsid w:val="001950FB"/>
    <w:rsid w:val="001A02E6"/>
    <w:rsid w:val="001A7140"/>
    <w:rsid w:val="001A7ED0"/>
    <w:rsid w:val="001B00D5"/>
    <w:rsid w:val="001B2FC0"/>
    <w:rsid w:val="001B317F"/>
    <w:rsid w:val="001B5450"/>
    <w:rsid w:val="001B69E0"/>
    <w:rsid w:val="001C12E6"/>
    <w:rsid w:val="001C2AD2"/>
    <w:rsid w:val="001C3719"/>
    <w:rsid w:val="001C5E42"/>
    <w:rsid w:val="001C6DA2"/>
    <w:rsid w:val="001C706D"/>
    <w:rsid w:val="001D0F15"/>
    <w:rsid w:val="001E0097"/>
    <w:rsid w:val="001E2970"/>
    <w:rsid w:val="001E2C9E"/>
    <w:rsid w:val="001E57D1"/>
    <w:rsid w:val="001F37BA"/>
    <w:rsid w:val="001F389C"/>
    <w:rsid w:val="001F3C55"/>
    <w:rsid w:val="001F4C71"/>
    <w:rsid w:val="001F54F3"/>
    <w:rsid w:val="001F67DB"/>
    <w:rsid w:val="001F7933"/>
    <w:rsid w:val="0020241D"/>
    <w:rsid w:val="00202888"/>
    <w:rsid w:val="00204327"/>
    <w:rsid w:val="00210DF6"/>
    <w:rsid w:val="002117FC"/>
    <w:rsid w:val="00214C9C"/>
    <w:rsid w:val="0021690C"/>
    <w:rsid w:val="0021782E"/>
    <w:rsid w:val="00220A26"/>
    <w:rsid w:val="002213D7"/>
    <w:rsid w:val="00223E7D"/>
    <w:rsid w:val="00224356"/>
    <w:rsid w:val="00225148"/>
    <w:rsid w:val="002269DE"/>
    <w:rsid w:val="00227270"/>
    <w:rsid w:val="00227344"/>
    <w:rsid w:val="00233366"/>
    <w:rsid w:val="002348D7"/>
    <w:rsid w:val="00235519"/>
    <w:rsid w:val="002375ED"/>
    <w:rsid w:val="002416B3"/>
    <w:rsid w:val="0024240C"/>
    <w:rsid w:val="00243594"/>
    <w:rsid w:val="00243DF5"/>
    <w:rsid w:val="00245A73"/>
    <w:rsid w:val="0025072B"/>
    <w:rsid w:val="00250849"/>
    <w:rsid w:val="00250F8D"/>
    <w:rsid w:val="00251CDB"/>
    <w:rsid w:val="0025354D"/>
    <w:rsid w:val="002543EB"/>
    <w:rsid w:val="0026239D"/>
    <w:rsid w:val="0026252F"/>
    <w:rsid w:val="0026425F"/>
    <w:rsid w:val="002642CD"/>
    <w:rsid w:val="00264FC5"/>
    <w:rsid w:val="00265AF7"/>
    <w:rsid w:val="002667C9"/>
    <w:rsid w:val="0027085D"/>
    <w:rsid w:val="002726C7"/>
    <w:rsid w:val="00274C8D"/>
    <w:rsid w:val="00281EB0"/>
    <w:rsid w:val="002827EE"/>
    <w:rsid w:val="00282CEE"/>
    <w:rsid w:val="00283887"/>
    <w:rsid w:val="00285043"/>
    <w:rsid w:val="0029258C"/>
    <w:rsid w:val="002949F0"/>
    <w:rsid w:val="0029521E"/>
    <w:rsid w:val="00295F4A"/>
    <w:rsid w:val="002A391C"/>
    <w:rsid w:val="002A3EB4"/>
    <w:rsid w:val="002A5561"/>
    <w:rsid w:val="002A5957"/>
    <w:rsid w:val="002A7704"/>
    <w:rsid w:val="002B0DD1"/>
    <w:rsid w:val="002B192D"/>
    <w:rsid w:val="002B25C6"/>
    <w:rsid w:val="002B7936"/>
    <w:rsid w:val="002C1618"/>
    <w:rsid w:val="002C1C74"/>
    <w:rsid w:val="002C45B1"/>
    <w:rsid w:val="002C62FD"/>
    <w:rsid w:val="002D1FA4"/>
    <w:rsid w:val="002D2652"/>
    <w:rsid w:val="002D38B9"/>
    <w:rsid w:val="002D7069"/>
    <w:rsid w:val="002E0E79"/>
    <w:rsid w:val="002E1774"/>
    <w:rsid w:val="002E2276"/>
    <w:rsid w:val="002E3CD0"/>
    <w:rsid w:val="002E6894"/>
    <w:rsid w:val="002F01B8"/>
    <w:rsid w:val="002F0820"/>
    <w:rsid w:val="002F08EF"/>
    <w:rsid w:val="002F3025"/>
    <w:rsid w:val="002F58DF"/>
    <w:rsid w:val="00302C9D"/>
    <w:rsid w:val="00302F59"/>
    <w:rsid w:val="00303322"/>
    <w:rsid w:val="00303790"/>
    <w:rsid w:val="00305CFC"/>
    <w:rsid w:val="0031092C"/>
    <w:rsid w:val="00312CB1"/>
    <w:rsid w:val="00312EE8"/>
    <w:rsid w:val="00313479"/>
    <w:rsid w:val="00317C02"/>
    <w:rsid w:val="00320D83"/>
    <w:rsid w:val="003210AF"/>
    <w:rsid w:val="0032187C"/>
    <w:rsid w:val="003307A8"/>
    <w:rsid w:val="00331FF1"/>
    <w:rsid w:val="00333C36"/>
    <w:rsid w:val="00334CAB"/>
    <w:rsid w:val="0033711A"/>
    <w:rsid w:val="00337955"/>
    <w:rsid w:val="0034408C"/>
    <w:rsid w:val="00344460"/>
    <w:rsid w:val="003509A3"/>
    <w:rsid w:val="003516FD"/>
    <w:rsid w:val="003521AF"/>
    <w:rsid w:val="0035459F"/>
    <w:rsid w:val="003555EA"/>
    <w:rsid w:val="0035590A"/>
    <w:rsid w:val="0035593E"/>
    <w:rsid w:val="00355DCD"/>
    <w:rsid w:val="003649B0"/>
    <w:rsid w:val="00366078"/>
    <w:rsid w:val="003677ED"/>
    <w:rsid w:val="003704C0"/>
    <w:rsid w:val="00373D9C"/>
    <w:rsid w:val="00377635"/>
    <w:rsid w:val="00377E20"/>
    <w:rsid w:val="00377E5A"/>
    <w:rsid w:val="003814DE"/>
    <w:rsid w:val="00384885"/>
    <w:rsid w:val="003869AA"/>
    <w:rsid w:val="003909AB"/>
    <w:rsid w:val="003916F7"/>
    <w:rsid w:val="003924E2"/>
    <w:rsid w:val="003928EA"/>
    <w:rsid w:val="0039379E"/>
    <w:rsid w:val="00394C57"/>
    <w:rsid w:val="0039790C"/>
    <w:rsid w:val="003979D4"/>
    <w:rsid w:val="003A37D9"/>
    <w:rsid w:val="003A3C13"/>
    <w:rsid w:val="003A57C1"/>
    <w:rsid w:val="003A6C55"/>
    <w:rsid w:val="003B0CE5"/>
    <w:rsid w:val="003B6026"/>
    <w:rsid w:val="003B689C"/>
    <w:rsid w:val="003C39A2"/>
    <w:rsid w:val="003C5060"/>
    <w:rsid w:val="003C528F"/>
    <w:rsid w:val="003D0B3F"/>
    <w:rsid w:val="003D2422"/>
    <w:rsid w:val="003D2595"/>
    <w:rsid w:val="003D297C"/>
    <w:rsid w:val="003D3AB9"/>
    <w:rsid w:val="003D5087"/>
    <w:rsid w:val="003D5CF8"/>
    <w:rsid w:val="003E0443"/>
    <w:rsid w:val="003E355E"/>
    <w:rsid w:val="003E49EF"/>
    <w:rsid w:val="003E763C"/>
    <w:rsid w:val="003F022B"/>
    <w:rsid w:val="003F55C1"/>
    <w:rsid w:val="003F5711"/>
    <w:rsid w:val="003F5D5B"/>
    <w:rsid w:val="00400104"/>
    <w:rsid w:val="0040012E"/>
    <w:rsid w:val="00401646"/>
    <w:rsid w:val="00402776"/>
    <w:rsid w:val="00402FC3"/>
    <w:rsid w:val="00404EED"/>
    <w:rsid w:val="00407C4C"/>
    <w:rsid w:val="00410063"/>
    <w:rsid w:val="00414F59"/>
    <w:rsid w:val="00415365"/>
    <w:rsid w:val="00415378"/>
    <w:rsid w:val="004168D9"/>
    <w:rsid w:val="004216CF"/>
    <w:rsid w:val="00425A93"/>
    <w:rsid w:val="00430F09"/>
    <w:rsid w:val="00431758"/>
    <w:rsid w:val="004334EE"/>
    <w:rsid w:val="00434F66"/>
    <w:rsid w:val="00444D5A"/>
    <w:rsid w:val="00450644"/>
    <w:rsid w:val="00451C51"/>
    <w:rsid w:val="00452A1F"/>
    <w:rsid w:val="004534FA"/>
    <w:rsid w:val="004541CE"/>
    <w:rsid w:val="0045599B"/>
    <w:rsid w:val="004606BD"/>
    <w:rsid w:val="00460EE5"/>
    <w:rsid w:val="00462592"/>
    <w:rsid w:val="00463B22"/>
    <w:rsid w:val="00464450"/>
    <w:rsid w:val="004662FE"/>
    <w:rsid w:val="004675AB"/>
    <w:rsid w:val="00470537"/>
    <w:rsid w:val="00471787"/>
    <w:rsid w:val="00472D16"/>
    <w:rsid w:val="00473413"/>
    <w:rsid w:val="00473921"/>
    <w:rsid w:val="0047487C"/>
    <w:rsid w:val="00475079"/>
    <w:rsid w:val="00475155"/>
    <w:rsid w:val="00477B17"/>
    <w:rsid w:val="00480293"/>
    <w:rsid w:val="004832B0"/>
    <w:rsid w:val="00483FF7"/>
    <w:rsid w:val="004853F3"/>
    <w:rsid w:val="00485A7A"/>
    <w:rsid w:val="00487168"/>
    <w:rsid w:val="004936C9"/>
    <w:rsid w:val="00495F28"/>
    <w:rsid w:val="004A05A6"/>
    <w:rsid w:val="004A2A3B"/>
    <w:rsid w:val="004A338D"/>
    <w:rsid w:val="004B1793"/>
    <w:rsid w:val="004B1F7B"/>
    <w:rsid w:val="004B43F2"/>
    <w:rsid w:val="004B59CB"/>
    <w:rsid w:val="004C0693"/>
    <w:rsid w:val="004C13E8"/>
    <w:rsid w:val="004C1BCF"/>
    <w:rsid w:val="004C3B50"/>
    <w:rsid w:val="004C594A"/>
    <w:rsid w:val="004C7A4E"/>
    <w:rsid w:val="004D07E7"/>
    <w:rsid w:val="004D388B"/>
    <w:rsid w:val="004D4B72"/>
    <w:rsid w:val="004E15BC"/>
    <w:rsid w:val="004E5626"/>
    <w:rsid w:val="004E7D1D"/>
    <w:rsid w:val="004F5EB2"/>
    <w:rsid w:val="005040BF"/>
    <w:rsid w:val="00504A1F"/>
    <w:rsid w:val="005057D4"/>
    <w:rsid w:val="00506A85"/>
    <w:rsid w:val="005155CF"/>
    <w:rsid w:val="00515CE6"/>
    <w:rsid w:val="0051739E"/>
    <w:rsid w:val="00525721"/>
    <w:rsid w:val="00527473"/>
    <w:rsid w:val="00527813"/>
    <w:rsid w:val="00534BB2"/>
    <w:rsid w:val="00535766"/>
    <w:rsid w:val="00540254"/>
    <w:rsid w:val="00540B72"/>
    <w:rsid w:val="00540D03"/>
    <w:rsid w:val="005418EA"/>
    <w:rsid w:val="00541CB4"/>
    <w:rsid w:val="005428F4"/>
    <w:rsid w:val="00546188"/>
    <w:rsid w:val="00547244"/>
    <w:rsid w:val="00554E44"/>
    <w:rsid w:val="00560296"/>
    <w:rsid w:val="00562A5A"/>
    <w:rsid w:val="00563560"/>
    <w:rsid w:val="00564F1E"/>
    <w:rsid w:val="0056779F"/>
    <w:rsid w:val="00567FB5"/>
    <w:rsid w:val="005714BD"/>
    <w:rsid w:val="005714E7"/>
    <w:rsid w:val="0057493D"/>
    <w:rsid w:val="00575945"/>
    <w:rsid w:val="005768BC"/>
    <w:rsid w:val="00577821"/>
    <w:rsid w:val="005801DB"/>
    <w:rsid w:val="00581680"/>
    <w:rsid w:val="00582436"/>
    <w:rsid w:val="00583D39"/>
    <w:rsid w:val="0058442D"/>
    <w:rsid w:val="00586B5C"/>
    <w:rsid w:val="00587615"/>
    <w:rsid w:val="005905ED"/>
    <w:rsid w:val="0059116B"/>
    <w:rsid w:val="005915B7"/>
    <w:rsid w:val="005A04E7"/>
    <w:rsid w:val="005A178F"/>
    <w:rsid w:val="005A19B2"/>
    <w:rsid w:val="005A36CE"/>
    <w:rsid w:val="005A43C8"/>
    <w:rsid w:val="005A5D21"/>
    <w:rsid w:val="005A793F"/>
    <w:rsid w:val="005A7DA8"/>
    <w:rsid w:val="005C0105"/>
    <w:rsid w:val="005C06F2"/>
    <w:rsid w:val="005C0707"/>
    <w:rsid w:val="005D064C"/>
    <w:rsid w:val="005D1209"/>
    <w:rsid w:val="005D2F97"/>
    <w:rsid w:val="005D5A24"/>
    <w:rsid w:val="005D5BB8"/>
    <w:rsid w:val="005D6036"/>
    <w:rsid w:val="005E1D3C"/>
    <w:rsid w:val="005E30D8"/>
    <w:rsid w:val="005E56D9"/>
    <w:rsid w:val="005F04DD"/>
    <w:rsid w:val="005F5427"/>
    <w:rsid w:val="005F78D8"/>
    <w:rsid w:val="005F7D08"/>
    <w:rsid w:val="0060433B"/>
    <w:rsid w:val="00607CAF"/>
    <w:rsid w:val="00610A08"/>
    <w:rsid w:val="00610CA3"/>
    <w:rsid w:val="0061321D"/>
    <w:rsid w:val="00614354"/>
    <w:rsid w:val="00615898"/>
    <w:rsid w:val="00617798"/>
    <w:rsid w:val="006222D7"/>
    <w:rsid w:val="0062260B"/>
    <w:rsid w:val="00623E84"/>
    <w:rsid w:val="00623F19"/>
    <w:rsid w:val="00624561"/>
    <w:rsid w:val="00624F88"/>
    <w:rsid w:val="00631367"/>
    <w:rsid w:val="00632C1C"/>
    <w:rsid w:val="00633848"/>
    <w:rsid w:val="006374A1"/>
    <w:rsid w:val="00641897"/>
    <w:rsid w:val="006436C8"/>
    <w:rsid w:val="00662B10"/>
    <w:rsid w:val="00670B10"/>
    <w:rsid w:val="00670FEA"/>
    <w:rsid w:val="0067141A"/>
    <w:rsid w:val="00676FEE"/>
    <w:rsid w:val="00677727"/>
    <w:rsid w:val="0068121F"/>
    <w:rsid w:val="00682F8A"/>
    <w:rsid w:val="00691FDD"/>
    <w:rsid w:val="00693048"/>
    <w:rsid w:val="006947BF"/>
    <w:rsid w:val="0069603A"/>
    <w:rsid w:val="00696BE9"/>
    <w:rsid w:val="006977C0"/>
    <w:rsid w:val="006A06BE"/>
    <w:rsid w:val="006A2E94"/>
    <w:rsid w:val="006A4B31"/>
    <w:rsid w:val="006A5273"/>
    <w:rsid w:val="006A5A59"/>
    <w:rsid w:val="006B5266"/>
    <w:rsid w:val="006C0D7C"/>
    <w:rsid w:val="006C4B70"/>
    <w:rsid w:val="006C5DCF"/>
    <w:rsid w:val="006C6075"/>
    <w:rsid w:val="006C6B58"/>
    <w:rsid w:val="006C6F44"/>
    <w:rsid w:val="006C763E"/>
    <w:rsid w:val="006D2475"/>
    <w:rsid w:val="006D3338"/>
    <w:rsid w:val="006D3F5A"/>
    <w:rsid w:val="006E5B3A"/>
    <w:rsid w:val="006F20BA"/>
    <w:rsid w:val="006F5FE5"/>
    <w:rsid w:val="006F7257"/>
    <w:rsid w:val="00700082"/>
    <w:rsid w:val="00700EBE"/>
    <w:rsid w:val="007031F8"/>
    <w:rsid w:val="00703CEC"/>
    <w:rsid w:val="00704700"/>
    <w:rsid w:val="007115BC"/>
    <w:rsid w:val="00715241"/>
    <w:rsid w:val="00720BA2"/>
    <w:rsid w:val="00721B86"/>
    <w:rsid w:val="00722749"/>
    <w:rsid w:val="00724315"/>
    <w:rsid w:val="007254A6"/>
    <w:rsid w:val="00730232"/>
    <w:rsid w:val="00734EF8"/>
    <w:rsid w:val="007356D0"/>
    <w:rsid w:val="0073620D"/>
    <w:rsid w:val="00740C80"/>
    <w:rsid w:val="00742F7D"/>
    <w:rsid w:val="00751232"/>
    <w:rsid w:val="00753B07"/>
    <w:rsid w:val="007568C9"/>
    <w:rsid w:val="0076230A"/>
    <w:rsid w:val="007651AC"/>
    <w:rsid w:val="00767DAC"/>
    <w:rsid w:val="00776F66"/>
    <w:rsid w:val="00777A48"/>
    <w:rsid w:val="00777D57"/>
    <w:rsid w:val="00780C33"/>
    <w:rsid w:val="00780F90"/>
    <w:rsid w:val="00785DE9"/>
    <w:rsid w:val="00792230"/>
    <w:rsid w:val="00796ABC"/>
    <w:rsid w:val="007A02D3"/>
    <w:rsid w:val="007A06EA"/>
    <w:rsid w:val="007A41D2"/>
    <w:rsid w:val="007B121A"/>
    <w:rsid w:val="007B2462"/>
    <w:rsid w:val="007B4208"/>
    <w:rsid w:val="007C0FB6"/>
    <w:rsid w:val="007C2B65"/>
    <w:rsid w:val="007C5681"/>
    <w:rsid w:val="007C5A0E"/>
    <w:rsid w:val="007C79E2"/>
    <w:rsid w:val="007D09E0"/>
    <w:rsid w:val="007D1496"/>
    <w:rsid w:val="007D2453"/>
    <w:rsid w:val="007D2A2B"/>
    <w:rsid w:val="007D2D6A"/>
    <w:rsid w:val="007D39FA"/>
    <w:rsid w:val="007D5AF5"/>
    <w:rsid w:val="007D6AE2"/>
    <w:rsid w:val="007E2C1C"/>
    <w:rsid w:val="007E3383"/>
    <w:rsid w:val="007E4F51"/>
    <w:rsid w:val="007E54FE"/>
    <w:rsid w:val="007F1D34"/>
    <w:rsid w:val="007F319D"/>
    <w:rsid w:val="007F66F6"/>
    <w:rsid w:val="00800330"/>
    <w:rsid w:val="00801611"/>
    <w:rsid w:val="00810241"/>
    <w:rsid w:val="00814EC0"/>
    <w:rsid w:val="00815147"/>
    <w:rsid w:val="008201CF"/>
    <w:rsid w:val="00820C58"/>
    <w:rsid w:val="00820F99"/>
    <w:rsid w:val="00822121"/>
    <w:rsid w:val="00825FFE"/>
    <w:rsid w:val="008337B3"/>
    <w:rsid w:val="00834261"/>
    <w:rsid w:val="00837437"/>
    <w:rsid w:val="00842C83"/>
    <w:rsid w:val="008437C7"/>
    <w:rsid w:val="00844AD0"/>
    <w:rsid w:val="00845105"/>
    <w:rsid w:val="00846A69"/>
    <w:rsid w:val="00851A87"/>
    <w:rsid w:val="008606E0"/>
    <w:rsid w:val="00860C5D"/>
    <w:rsid w:val="008614BA"/>
    <w:rsid w:val="00865CC7"/>
    <w:rsid w:val="0087080D"/>
    <w:rsid w:val="008714C4"/>
    <w:rsid w:val="00871F50"/>
    <w:rsid w:val="00874F54"/>
    <w:rsid w:val="00875DEB"/>
    <w:rsid w:val="0089288B"/>
    <w:rsid w:val="008931A6"/>
    <w:rsid w:val="00893701"/>
    <w:rsid w:val="008951BC"/>
    <w:rsid w:val="0089656C"/>
    <w:rsid w:val="008A1104"/>
    <w:rsid w:val="008A34A7"/>
    <w:rsid w:val="008A6E76"/>
    <w:rsid w:val="008B0360"/>
    <w:rsid w:val="008B1DD1"/>
    <w:rsid w:val="008B4202"/>
    <w:rsid w:val="008B514D"/>
    <w:rsid w:val="008C5D2D"/>
    <w:rsid w:val="008C6B2F"/>
    <w:rsid w:val="008D0444"/>
    <w:rsid w:val="008D0B04"/>
    <w:rsid w:val="008D17A1"/>
    <w:rsid w:val="008D1F40"/>
    <w:rsid w:val="008D359A"/>
    <w:rsid w:val="008D44B1"/>
    <w:rsid w:val="008E454B"/>
    <w:rsid w:val="008F0B9A"/>
    <w:rsid w:val="0090056F"/>
    <w:rsid w:val="00901D4E"/>
    <w:rsid w:val="009053A2"/>
    <w:rsid w:val="009065FC"/>
    <w:rsid w:val="009100AF"/>
    <w:rsid w:val="00910CFB"/>
    <w:rsid w:val="009110AA"/>
    <w:rsid w:val="009115D1"/>
    <w:rsid w:val="00913F0F"/>
    <w:rsid w:val="00917506"/>
    <w:rsid w:val="009219FD"/>
    <w:rsid w:val="00922568"/>
    <w:rsid w:val="009267BC"/>
    <w:rsid w:val="009272D3"/>
    <w:rsid w:val="009272ED"/>
    <w:rsid w:val="00932CAD"/>
    <w:rsid w:val="00933829"/>
    <w:rsid w:val="00935B3B"/>
    <w:rsid w:val="00937913"/>
    <w:rsid w:val="00953B20"/>
    <w:rsid w:val="00961A3B"/>
    <w:rsid w:val="00961DC1"/>
    <w:rsid w:val="009667AD"/>
    <w:rsid w:val="009701EB"/>
    <w:rsid w:val="00971AD4"/>
    <w:rsid w:val="00975CCE"/>
    <w:rsid w:val="0097764F"/>
    <w:rsid w:val="00986C01"/>
    <w:rsid w:val="00991632"/>
    <w:rsid w:val="00991822"/>
    <w:rsid w:val="00992DB4"/>
    <w:rsid w:val="00993515"/>
    <w:rsid w:val="00994744"/>
    <w:rsid w:val="00994FFC"/>
    <w:rsid w:val="00995361"/>
    <w:rsid w:val="00996813"/>
    <w:rsid w:val="009A08D5"/>
    <w:rsid w:val="009A52F9"/>
    <w:rsid w:val="009A5C7B"/>
    <w:rsid w:val="009A6E4F"/>
    <w:rsid w:val="009B1366"/>
    <w:rsid w:val="009B194C"/>
    <w:rsid w:val="009B324A"/>
    <w:rsid w:val="009B3931"/>
    <w:rsid w:val="009B4685"/>
    <w:rsid w:val="009B4ECF"/>
    <w:rsid w:val="009B699B"/>
    <w:rsid w:val="009C1171"/>
    <w:rsid w:val="009C3988"/>
    <w:rsid w:val="009C4F96"/>
    <w:rsid w:val="009D743C"/>
    <w:rsid w:val="009D7C6E"/>
    <w:rsid w:val="009E0AB7"/>
    <w:rsid w:val="009E16BD"/>
    <w:rsid w:val="009E735E"/>
    <w:rsid w:val="009F32B6"/>
    <w:rsid w:val="009F461D"/>
    <w:rsid w:val="009F5B7F"/>
    <w:rsid w:val="00A13DE1"/>
    <w:rsid w:val="00A14180"/>
    <w:rsid w:val="00A15AFB"/>
    <w:rsid w:val="00A17603"/>
    <w:rsid w:val="00A17A39"/>
    <w:rsid w:val="00A17FDC"/>
    <w:rsid w:val="00A234D3"/>
    <w:rsid w:val="00A2699E"/>
    <w:rsid w:val="00A3204E"/>
    <w:rsid w:val="00A34D98"/>
    <w:rsid w:val="00A3551B"/>
    <w:rsid w:val="00A35F1A"/>
    <w:rsid w:val="00A36880"/>
    <w:rsid w:val="00A3744D"/>
    <w:rsid w:val="00A40442"/>
    <w:rsid w:val="00A41157"/>
    <w:rsid w:val="00A4211B"/>
    <w:rsid w:val="00A43D86"/>
    <w:rsid w:val="00A4693E"/>
    <w:rsid w:val="00A503B4"/>
    <w:rsid w:val="00A51D00"/>
    <w:rsid w:val="00A531CF"/>
    <w:rsid w:val="00A54DBE"/>
    <w:rsid w:val="00A602EA"/>
    <w:rsid w:val="00A61A1C"/>
    <w:rsid w:val="00A61AFE"/>
    <w:rsid w:val="00A621AA"/>
    <w:rsid w:val="00A62F6D"/>
    <w:rsid w:val="00A637B2"/>
    <w:rsid w:val="00A6532B"/>
    <w:rsid w:val="00A72022"/>
    <w:rsid w:val="00A75735"/>
    <w:rsid w:val="00A76F96"/>
    <w:rsid w:val="00A76FEA"/>
    <w:rsid w:val="00A83AA7"/>
    <w:rsid w:val="00A87E23"/>
    <w:rsid w:val="00A92004"/>
    <w:rsid w:val="00A9455E"/>
    <w:rsid w:val="00AA0616"/>
    <w:rsid w:val="00AA0FCB"/>
    <w:rsid w:val="00AA208D"/>
    <w:rsid w:val="00AA21C4"/>
    <w:rsid w:val="00AA2FB0"/>
    <w:rsid w:val="00AA4ED9"/>
    <w:rsid w:val="00AA54D4"/>
    <w:rsid w:val="00AA73F1"/>
    <w:rsid w:val="00AB574E"/>
    <w:rsid w:val="00AB6428"/>
    <w:rsid w:val="00AC4C62"/>
    <w:rsid w:val="00AC6C5A"/>
    <w:rsid w:val="00AC6DB9"/>
    <w:rsid w:val="00AD2ABC"/>
    <w:rsid w:val="00AD6F38"/>
    <w:rsid w:val="00AD7C9D"/>
    <w:rsid w:val="00AE4FCD"/>
    <w:rsid w:val="00AE551F"/>
    <w:rsid w:val="00AE7DB1"/>
    <w:rsid w:val="00AF1327"/>
    <w:rsid w:val="00AF18F7"/>
    <w:rsid w:val="00AF273D"/>
    <w:rsid w:val="00AF43E3"/>
    <w:rsid w:val="00AF7FB6"/>
    <w:rsid w:val="00B0122F"/>
    <w:rsid w:val="00B02CBC"/>
    <w:rsid w:val="00B042DB"/>
    <w:rsid w:val="00B0743A"/>
    <w:rsid w:val="00B104F0"/>
    <w:rsid w:val="00B10A26"/>
    <w:rsid w:val="00B11304"/>
    <w:rsid w:val="00B12AB6"/>
    <w:rsid w:val="00B12E3E"/>
    <w:rsid w:val="00B1563C"/>
    <w:rsid w:val="00B2723B"/>
    <w:rsid w:val="00B3464A"/>
    <w:rsid w:val="00B35666"/>
    <w:rsid w:val="00B41E87"/>
    <w:rsid w:val="00B459F5"/>
    <w:rsid w:val="00B51DF8"/>
    <w:rsid w:val="00B6007F"/>
    <w:rsid w:val="00B60D6C"/>
    <w:rsid w:val="00B63D86"/>
    <w:rsid w:val="00B64CA3"/>
    <w:rsid w:val="00B66F8B"/>
    <w:rsid w:val="00B675AD"/>
    <w:rsid w:val="00B7310B"/>
    <w:rsid w:val="00B7346A"/>
    <w:rsid w:val="00B81255"/>
    <w:rsid w:val="00B81F21"/>
    <w:rsid w:val="00B85C01"/>
    <w:rsid w:val="00B86D40"/>
    <w:rsid w:val="00B9261B"/>
    <w:rsid w:val="00B93297"/>
    <w:rsid w:val="00B9342E"/>
    <w:rsid w:val="00BA1EE6"/>
    <w:rsid w:val="00BB25A3"/>
    <w:rsid w:val="00BB3E72"/>
    <w:rsid w:val="00BB3FD4"/>
    <w:rsid w:val="00BC1219"/>
    <w:rsid w:val="00BC2535"/>
    <w:rsid w:val="00BC306A"/>
    <w:rsid w:val="00BC3909"/>
    <w:rsid w:val="00BC47FC"/>
    <w:rsid w:val="00BC5A33"/>
    <w:rsid w:val="00BD1A37"/>
    <w:rsid w:val="00BD2F9A"/>
    <w:rsid w:val="00BD387C"/>
    <w:rsid w:val="00BD55BE"/>
    <w:rsid w:val="00BD5DD7"/>
    <w:rsid w:val="00BD603B"/>
    <w:rsid w:val="00BD7C1E"/>
    <w:rsid w:val="00BE006B"/>
    <w:rsid w:val="00BE0603"/>
    <w:rsid w:val="00BE1C0E"/>
    <w:rsid w:val="00BE3B6C"/>
    <w:rsid w:val="00BE6F71"/>
    <w:rsid w:val="00BF141B"/>
    <w:rsid w:val="00BF4A82"/>
    <w:rsid w:val="00C019F6"/>
    <w:rsid w:val="00C03BA9"/>
    <w:rsid w:val="00C05055"/>
    <w:rsid w:val="00C059B9"/>
    <w:rsid w:val="00C06631"/>
    <w:rsid w:val="00C15478"/>
    <w:rsid w:val="00C155D3"/>
    <w:rsid w:val="00C167AA"/>
    <w:rsid w:val="00C20996"/>
    <w:rsid w:val="00C22264"/>
    <w:rsid w:val="00C22312"/>
    <w:rsid w:val="00C23197"/>
    <w:rsid w:val="00C23804"/>
    <w:rsid w:val="00C26EF1"/>
    <w:rsid w:val="00C27CE7"/>
    <w:rsid w:val="00C3115D"/>
    <w:rsid w:val="00C31BB7"/>
    <w:rsid w:val="00C41868"/>
    <w:rsid w:val="00C42D32"/>
    <w:rsid w:val="00C434C5"/>
    <w:rsid w:val="00C44531"/>
    <w:rsid w:val="00C45F23"/>
    <w:rsid w:val="00C47ACD"/>
    <w:rsid w:val="00C62072"/>
    <w:rsid w:val="00C62354"/>
    <w:rsid w:val="00C63E48"/>
    <w:rsid w:val="00C6485A"/>
    <w:rsid w:val="00C70F83"/>
    <w:rsid w:val="00C725B8"/>
    <w:rsid w:val="00C73BF7"/>
    <w:rsid w:val="00C743A6"/>
    <w:rsid w:val="00C750BB"/>
    <w:rsid w:val="00C829DA"/>
    <w:rsid w:val="00C873EA"/>
    <w:rsid w:val="00C90BB6"/>
    <w:rsid w:val="00C90E39"/>
    <w:rsid w:val="00CA1C75"/>
    <w:rsid w:val="00CA465F"/>
    <w:rsid w:val="00CA6CF5"/>
    <w:rsid w:val="00CB1A10"/>
    <w:rsid w:val="00CB3635"/>
    <w:rsid w:val="00CB43CD"/>
    <w:rsid w:val="00CB5154"/>
    <w:rsid w:val="00CB5941"/>
    <w:rsid w:val="00CB6509"/>
    <w:rsid w:val="00CB7FE8"/>
    <w:rsid w:val="00CC043B"/>
    <w:rsid w:val="00CC3ACF"/>
    <w:rsid w:val="00CC4AA0"/>
    <w:rsid w:val="00CD11BD"/>
    <w:rsid w:val="00CD74B8"/>
    <w:rsid w:val="00CE11AE"/>
    <w:rsid w:val="00CE3C45"/>
    <w:rsid w:val="00CE6E7D"/>
    <w:rsid w:val="00CE7DDE"/>
    <w:rsid w:val="00CE7E0F"/>
    <w:rsid w:val="00CF1179"/>
    <w:rsid w:val="00CF349A"/>
    <w:rsid w:val="00CF560E"/>
    <w:rsid w:val="00CF5871"/>
    <w:rsid w:val="00CF6069"/>
    <w:rsid w:val="00CF644B"/>
    <w:rsid w:val="00D012DB"/>
    <w:rsid w:val="00D01BC7"/>
    <w:rsid w:val="00D02A96"/>
    <w:rsid w:val="00D10A82"/>
    <w:rsid w:val="00D11149"/>
    <w:rsid w:val="00D161ED"/>
    <w:rsid w:val="00D205F3"/>
    <w:rsid w:val="00D2114D"/>
    <w:rsid w:val="00D23B73"/>
    <w:rsid w:val="00D25F98"/>
    <w:rsid w:val="00D26E87"/>
    <w:rsid w:val="00D334DE"/>
    <w:rsid w:val="00D40110"/>
    <w:rsid w:val="00D410A9"/>
    <w:rsid w:val="00D458F0"/>
    <w:rsid w:val="00D47191"/>
    <w:rsid w:val="00D522A0"/>
    <w:rsid w:val="00D5535E"/>
    <w:rsid w:val="00D55830"/>
    <w:rsid w:val="00D57904"/>
    <w:rsid w:val="00D57C85"/>
    <w:rsid w:val="00D71AA9"/>
    <w:rsid w:val="00D73361"/>
    <w:rsid w:val="00D73F88"/>
    <w:rsid w:val="00D775DC"/>
    <w:rsid w:val="00D82990"/>
    <w:rsid w:val="00D866D8"/>
    <w:rsid w:val="00D87558"/>
    <w:rsid w:val="00D8756F"/>
    <w:rsid w:val="00D946FE"/>
    <w:rsid w:val="00DA064B"/>
    <w:rsid w:val="00DA095D"/>
    <w:rsid w:val="00DA1D21"/>
    <w:rsid w:val="00DA25FE"/>
    <w:rsid w:val="00DA2BAE"/>
    <w:rsid w:val="00DA6357"/>
    <w:rsid w:val="00DA6769"/>
    <w:rsid w:val="00DB1720"/>
    <w:rsid w:val="00DB38AE"/>
    <w:rsid w:val="00DB56F7"/>
    <w:rsid w:val="00DB6BBF"/>
    <w:rsid w:val="00DC2048"/>
    <w:rsid w:val="00DD1264"/>
    <w:rsid w:val="00DD309C"/>
    <w:rsid w:val="00DD3A9E"/>
    <w:rsid w:val="00DD4583"/>
    <w:rsid w:val="00DD4AC7"/>
    <w:rsid w:val="00DD52E9"/>
    <w:rsid w:val="00DD5B83"/>
    <w:rsid w:val="00DE76F8"/>
    <w:rsid w:val="00DF03F2"/>
    <w:rsid w:val="00DF36AB"/>
    <w:rsid w:val="00DF399B"/>
    <w:rsid w:val="00DF4870"/>
    <w:rsid w:val="00DF7C6E"/>
    <w:rsid w:val="00E04CDD"/>
    <w:rsid w:val="00E06B8A"/>
    <w:rsid w:val="00E07D51"/>
    <w:rsid w:val="00E1094A"/>
    <w:rsid w:val="00E12763"/>
    <w:rsid w:val="00E129A8"/>
    <w:rsid w:val="00E149B5"/>
    <w:rsid w:val="00E14FD2"/>
    <w:rsid w:val="00E15853"/>
    <w:rsid w:val="00E17327"/>
    <w:rsid w:val="00E20EF1"/>
    <w:rsid w:val="00E221D6"/>
    <w:rsid w:val="00E32E51"/>
    <w:rsid w:val="00E35690"/>
    <w:rsid w:val="00E35AD0"/>
    <w:rsid w:val="00E36D56"/>
    <w:rsid w:val="00E430C4"/>
    <w:rsid w:val="00E437CB"/>
    <w:rsid w:val="00E45E58"/>
    <w:rsid w:val="00E45FFB"/>
    <w:rsid w:val="00E51742"/>
    <w:rsid w:val="00E538DF"/>
    <w:rsid w:val="00E54DB4"/>
    <w:rsid w:val="00E5608D"/>
    <w:rsid w:val="00E60556"/>
    <w:rsid w:val="00E6273C"/>
    <w:rsid w:val="00E63531"/>
    <w:rsid w:val="00E64E55"/>
    <w:rsid w:val="00E67827"/>
    <w:rsid w:val="00E71163"/>
    <w:rsid w:val="00E75550"/>
    <w:rsid w:val="00E86433"/>
    <w:rsid w:val="00E86FC1"/>
    <w:rsid w:val="00E87246"/>
    <w:rsid w:val="00E8769D"/>
    <w:rsid w:val="00E9176B"/>
    <w:rsid w:val="00E94741"/>
    <w:rsid w:val="00E94DE5"/>
    <w:rsid w:val="00E95E40"/>
    <w:rsid w:val="00E965A6"/>
    <w:rsid w:val="00E973A0"/>
    <w:rsid w:val="00EA0003"/>
    <w:rsid w:val="00EA2098"/>
    <w:rsid w:val="00EA369A"/>
    <w:rsid w:val="00EA3C05"/>
    <w:rsid w:val="00EA3E3A"/>
    <w:rsid w:val="00EB1E20"/>
    <w:rsid w:val="00EB1E87"/>
    <w:rsid w:val="00EB5F3C"/>
    <w:rsid w:val="00EC12EF"/>
    <w:rsid w:val="00ED10BF"/>
    <w:rsid w:val="00EE0C0A"/>
    <w:rsid w:val="00EE3EBE"/>
    <w:rsid w:val="00EE5DB6"/>
    <w:rsid w:val="00EE70D6"/>
    <w:rsid w:val="00EF4084"/>
    <w:rsid w:val="00EF4F1E"/>
    <w:rsid w:val="00EF5A3E"/>
    <w:rsid w:val="00EF748D"/>
    <w:rsid w:val="00F00C2D"/>
    <w:rsid w:val="00F05C45"/>
    <w:rsid w:val="00F112CA"/>
    <w:rsid w:val="00F1149A"/>
    <w:rsid w:val="00F142DA"/>
    <w:rsid w:val="00F14511"/>
    <w:rsid w:val="00F1496B"/>
    <w:rsid w:val="00F16A8B"/>
    <w:rsid w:val="00F20052"/>
    <w:rsid w:val="00F214AD"/>
    <w:rsid w:val="00F25439"/>
    <w:rsid w:val="00F33E26"/>
    <w:rsid w:val="00F346E7"/>
    <w:rsid w:val="00F40BEA"/>
    <w:rsid w:val="00F42000"/>
    <w:rsid w:val="00F42349"/>
    <w:rsid w:val="00F44A86"/>
    <w:rsid w:val="00F4583B"/>
    <w:rsid w:val="00F4690B"/>
    <w:rsid w:val="00F47671"/>
    <w:rsid w:val="00F51B5A"/>
    <w:rsid w:val="00F52087"/>
    <w:rsid w:val="00F54735"/>
    <w:rsid w:val="00F5531A"/>
    <w:rsid w:val="00F5543A"/>
    <w:rsid w:val="00F5716A"/>
    <w:rsid w:val="00F614D5"/>
    <w:rsid w:val="00F665F6"/>
    <w:rsid w:val="00F72B3D"/>
    <w:rsid w:val="00F75753"/>
    <w:rsid w:val="00F76A0A"/>
    <w:rsid w:val="00F76D9C"/>
    <w:rsid w:val="00F806D8"/>
    <w:rsid w:val="00F86E37"/>
    <w:rsid w:val="00F91355"/>
    <w:rsid w:val="00F955B0"/>
    <w:rsid w:val="00F979CC"/>
    <w:rsid w:val="00FA25D9"/>
    <w:rsid w:val="00FA4224"/>
    <w:rsid w:val="00FA70A8"/>
    <w:rsid w:val="00FA7666"/>
    <w:rsid w:val="00FB005C"/>
    <w:rsid w:val="00FB0479"/>
    <w:rsid w:val="00FB1893"/>
    <w:rsid w:val="00FB1926"/>
    <w:rsid w:val="00FB1A9A"/>
    <w:rsid w:val="00FB203D"/>
    <w:rsid w:val="00FC1BFB"/>
    <w:rsid w:val="00FC2FE7"/>
    <w:rsid w:val="00FC3169"/>
    <w:rsid w:val="00FC3BEA"/>
    <w:rsid w:val="00FC5437"/>
    <w:rsid w:val="00FC5F2C"/>
    <w:rsid w:val="00FD039B"/>
    <w:rsid w:val="00FD0F1A"/>
    <w:rsid w:val="00FD2610"/>
    <w:rsid w:val="00FD3939"/>
    <w:rsid w:val="00FD560D"/>
    <w:rsid w:val="00FD5882"/>
    <w:rsid w:val="00FE03DE"/>
    <w:rsid w:val="00FE3947"/>
    <w:rsid w:val="00FE4D1F"/>
    <w:rsid w:val="00FF2C40"/>
    <w:rsid w:val="00FF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EA20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Closing">
    <w:name w:val="Closing"/>
    <w:basedOn w:val="Normal"/>
    <w:pPr>
      <w:keepNext/>
      <w:spacing w:line="220" w:lineRule="atLeast"/>
    </w:pPr>
    <w:rPr>
      <w:rFonts w:ascii="Arial" w:hAnsi="Arial"/>
      <w:spacing w:val="-5"/>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link w:val="MessageHeaderChar"/>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3754D4"/>
      <w:u w:val="single"/>
    </w:rPr>
  </w:style>
  <w:style w:type="character" w:styleId="Strong">
    <w:name w:val="Strong"/>
    <w:qFormat/>
    <w:rPr>
      <w:b/>
      <w:bCs/>
    </w:rPr>
  </w:style>
  <w:style w:type="character" w:customStyle="1" w:styleId="Char7">
    <w:name w:val="Char7"/>
    <w:rPr>
      <w:rFonts w:ascii="Arial" w:hAnsi="Arial"/>
      <w:color w:val="000000"/>
      <w:spacing w:val="-5"/>
      <w:sz w:val="18"/>
      <w:lang w:val="en-US" w:eastAsia="en-US" w:bidi="ar-SA"/>
    </w:rPr>
  </w:style>
  <w:style w:type="paragraph" w:styleId="BodyText2">
    <w:name w:val="Body Text 2"/>
    <w:basedOn w:val="Normal"/>
    <w:pPr>
      <w:ind w:left="360"/>
    </w:pPr>
    <w:rPr>
      <w:rFonts w:ascii="Bookman Old Style" w:hAnsi="Bookman Old Style"/>
      <w:b/>
      <w:i/>
      <w:color w:val="auto"/>
      <w:sz w:val="20"/>
    </w:rPr>
  </w:style>
  <w:style w:type="character" w:customStyle="1" w:styleId="Char4">
    <w:name w:val="Char4"/>
    <w:rPr>
      <w:rFonts w:ascii="Bookman Old Style" w:hAnsi="Bookman Old Style"/>
      <w:b/>
      <w:i/>
      <w:lang w:val="en-US" w:eastAsia="en-US" w:bidi="ar-SA"/>
    </w:rPr>
  </w:style>
  <w:style w:type="character" w:customStyle="1" w:styleId="Char6">
    <w:name w:val="Char6"/>
    <w:rPr>
      <w:rFonts w:ascii="Arial" w:hAnsi="Arial"/>
      <w:color w:val="000000"/>
      <w:spacing w:val="-5"/>
      <w:sz w:val="24"/>
      <w:lang w:val="en-US" w:eastAsia="en-US" w:bidi="ar-SA"/>
    </w:rPr>
  </w:style>
  <w:style w:type="character" w:customStyle="1" w:styleId="Char5">
    <w:name w:val="Char5"/>
    <w:semiHidden/>
    <w:rPr>
      <w:rFonts w:ascii="Tahoma" w:hAnsi="Tahoma" w:cs="Tahoma"/>
      <w:color w:val="000000"/>
      <w:sz w:val="16"/>
      <w:szCs w:val="16"/>
      <w:lang w:val="en-US" w:eastAsia="en-US" w:bidi="ar-SA"/>
    </w:rPr>
  </w:style>
  <w:style w:type="paragraph" w:styleId="NormalWeb">
    <w:name w:val="Normal (Web)"/>
    <w:basedOn w:val="Normal"/>
    <w:pPr>
      <w:spacing w:before="100" w:beforeAutospacing="1" w:after="100" w:afterAutospacing="1"/>
    </w:pPr>
    <w:rPr>
      <w:color w:val="auto"/>
      <w:szCs w:val="24"/>
    </w:rPr>
  </w:style>
  <w:style w:type="paragraph" w:customStyle="1" w:styleId="NormalTIMS">
    <w:name w:val="NormalTIMS"/>
    <w:basedOn w:val="Normal"/>
    <w:pPr>
      <w:tabs>
        <w:tab w:val="left" w:pos="475"/>
      </w:tabs>
      <w:spacing w:line="192" w:lineRule="auto"/>
      <w:jc w:val="both"/>
    </w:pPr>
    <w:rPr>
      <w:color w:val="auto"/>
    </w:rPr>
  </w:style>
  <w:style w:type="paragraph" w:styleId="ListBullet2">
    <w:name w:val="List Bullet 2"/>
    <w:basedOn w:val="Normal"/>
    <w:autoRedefine/>
    <w:pPr>
      <w:widowControl w:val="0"/>
      <w:numPr>
        <w:numId w:val="28"/>
      </w:numPr>
      <w:tabs>
        <w:tab w:val="clear" w:pos="360"/>
      </w:tabs>
      <w:ind w:left="810" w:hanging="540"/>
      <w:jc w:val="both"/>
    </w:pPr>
    <w:rPr>
      <w:snapToGrid w:val="0"/>
      <w:color w:val="auto"/>
    </w:rPr>
  </w:style>
  <w:style w:type="paragraph" w:styleId="BodyTextIndent">
    <w:name w:val="Body Text Indent"/>
    <w:basedOn w:val="Normal"/>
    <w:pPr>
      <w:widowControl w:val="0"/>
      <w:spacing w:after="120"/>
      <w:ind w:left="360"/>
    </w:pPr>
    <w:rPr>
      <w:rFonts w:ascii="Century Gothic" w:hAnsi="Century Gothic"/>
      <w:snapToGrid w:val="0"/>
      <w:color w:val="auto"/>
    </w:rPr>
  </w:style>
  <w:style w:type="character" w:customStyle="1" w:styleId="Char3">
    <w:name w:val="Char3"/>
    <w:rPr>
      <w:rFonts w:ascii="Century Gothic" w:hAnsi="Century Gothic"/>
      <w:snapToGrid w:val="0"/>
      <w:sz w:val="24"/>
      <w:lang w:val="en-US" w:eastAsia="en-US" w:bidi="ar-SA"/>
    </w:rPr>
  </w:style>
  <w:style w:type="paragraph" w:styleId="BodyText3">
    <w:name w:val="Body Text 3"/>
    <w:basedOn w:val="Normal"/>
    <w:pPr>
      <w:spacing w:after="120"/>
    </w:pPr>
    <w:rPr>
      <w:color w:val="auto"/>
      <w:sz w:val="16"/>
      <w:szCs w:val="16"/>
    </w:rPr>
  </w:style>
  <w:style w:type="character" w:customStyle="1" w:styleId="Char2">
    <w:name w:val="Char2"/>
    <w:rPr>
      <w:sz w:val="16"/>
      <w:szCs w:val="16"/>
      <w:lang w:val="en-US" w:eastAsia="en-US" w:bidi="ar-SA"/>
    </w:rPr>
  </w:style>
  <w:style w:type="character" w:customStyle="1" w:styleId="redline1">
    <w:name w:val="redline1"/>
    <w:rPr>
      <w:b w:val="0"/>
      <w:bCs w:val="0"/>
      <w:i/>
      <w:iCs/>
      <w:color w:val="FF0000"/>
      <w:shd w:val="clear" w:color="auto" w:fill="auto"/>
    </w:rPr>
  </w:style>
  <w:style w:type="paragraph" w:styleId="ListParagraph">
    <w:name w:val="List Paragraph"/>
    <w:basedOn w:val="Normal"/>
    <w:uiPriority w:val="34"/>
    <w:qFormat/>
    <w:pPr>
      <w:ind w:left="720"/>
    </w:pPr>
    <w:rPr>
      <w:color w:val="auto"/>
      <w:szCs w:val="24"/>
    </w:rPr>
  </w:style>
  <w:style w:type="character" w:styleId="CommentReference">
    <w:name w:val="annotation reference"/>
    <w:semiHidden/>
    <w:unhideWhenUsed/>
    <w:rPr>
      <w:sz w:val="16"/>
      <w:szCs w:val="16"/>
    </w:rPr>
  </w:style>
  <w:style w:type="character" w:customStyle="1" w:styleId="Char1">
    <w:name w:val="Char1"/>
    <w:semiHidden/>
    <w:rPr>
      <w:lang w:bidi="ar-SA"/>
    </w:rPr>
  </w:style>
  <w:style w:type="paragraph" w:styleId="CommentText">
    <w:name w:val="annotation text"/>
    <w:basedOn w:val="Normal"/>
    <w:semiHidden/>
    <w:unhideWhenUsed/>
    <w:rPr>
      <w:color w:val="auto"/>
      <w:sz w:val="20"/>
    </w:rPr>
  </w:style>
  <w:style w:type="character" w:customStyle="1" w:styleId="Char">
    <w:name w:val="Char"/>
    <w:semiHidden/>
    <w:rPr>
      <w:b/>
      <w:bCs/>
      <w:lang w:bidi="ar-SA"/>
    </w:rPr>
  </w:style>
  <w:style w:type="paragraph" w:styleId="CommentSubject">
    <w:name w:val="annotation subject"/>
    <w:basedOn w:val="CommentText"/>
    <w:next w:val="CommentText"/>
    <w:semiHidden/>
    <w:unhideWhenUsed/>
    <w:rPr>
      <w:b/>
      <w:bCs/>
    </w:rPr>
  </w:style>
  <w:style w:type="paragraph" w:customStyle="1" w:styleId="Default">
    <w:name w:val="Default"/>
    <w:pPr>
      <w:autoSpaceDE w:val="0"/>
      <w:autoSpaceDN w:val="0"/>
      <w:adjustRightInd w:val="0"/>
    </w:pPr>
    <w:rPr>
      <w:rFonts w:eastAsia="Calibri"/>
      <w:color w:val="000000"/>
      <w:sz w:val="24"/>
      <w:szCs w:val="24"/>
    </w:rPr>
  </w:style>
  <w:style w:type="character" w:styleId="FollowedHyperlink">
    <w:name w:val="FollowedHyperlink"/>
    <w:rPr>
      <w:color w:val="800080"/>
      <w:u w:val="single"/>
    </w:rPr>
  </w:style>
  <w:style w:type="character" w:customStyle="1" w:styleId="MessageHeaderChar">
    <w:name w:val="Message Header Char"/>
    <w:link w:val="MessageHeader"/>
    <w:rsid w:val="009701EB"/>
    <w:rPr>
      <w:rFonts w:ascii="Arial" w:hAnsi="Arial"/>
      <w:color w:val="000000"/>
      <w:spacing w:val="-5"/>
      <w:sz w:val="24"/>
    </w:rPr>
  </w:style>
  <w:style w:type="character" w:customStyle="1" w:styleId="Heading6Char">
    <w:name w:val="Heading 6 Char"/>
    <w:link w:val="Heading6"/>
    <w:semiHidden/>
    <w:rsid w:val="00EA2098"/>
    <w:rPr>
      <w:rFonts w:ascii="Calibri" w:eastAsia="Times New Roman" w:hAnsi="Calibri" w:cs="Times New Roman"/>
      <w:b/>
      <w:bCs/>
      <w:color w:val="000000"/>
      <w:sz w:val="22"/>
      <w:szCs w:val="22"/>
    </w:rPr>
  </w:style>
  <w:style w:type="character" w:customStyle="1" w:styleId="FooterChar">
    <w:name w:val="Footer Char"/>
    <w:link w:val="Footer"/>
    <w:uiPriority w:val="99"/>
    <w:rsid w:val="00504A1F"/>
    <w:rPr>
      <w:rFonts w:ascii="Arial" w:hAnsi="Arial"/>
      <w:color w:val="000000"/>
      <w:spacing w:val="-5"/>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link w:val="Heading6Char"/>
    <w:semiHidden/>
    <w:unhideWhenUsed/>
    <w:qFormat/>
    <w:rsid w:val="00EA209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rPr>
      <w:rFonts w:ascii="Arial" w:hAnsi="Arial"/>
      <w:spacing w:val="-5"/>
    </w:rPr>
  </w:style>
  <w:style w:type="paragraph" w:styleId="Closing">
    <w:name w:val="Closing"/>
    <w:basedOn w:val="Normal"/>
    <w:pPr>
      <w:keepNext/>
      <w:spacing w:line="220" w:lineRule="atLeast"/>
    </w:pPr>
    <w:rPr>
      <w:rFonts w:ascii="Arial" w:hAnsi="Arial"/>
      <w:spacing w:val="-5"/>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next w:val="Normal"/>
    <w:pPr>
      <w:keepNext/>
      <w:keepLines/>
      <w:spacing w:before="400" w:after="120" w:line="240" w:lineRule="atLeast"/>
      <w:ind w:left="-84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link w:val="FooterChar"/>
    <w:uiPriority w:val="99"/>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link w:val="MessageHeaderChar"/>
    <w:pPr>
      <w:keepLines/>
      <w:spacing w:after="120"/>
      <w:ind w:left="720"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0" w:wrap="notBeside" w:vAnchor="page" w:hAnchor="page" w:x="1801" w:y="961" w:anchorLock="1"/>
      <w:spacing w:line="200" w:lineRule="atLeast"/>
    </w:pPr>
    <w:rPr>
      <w:spacing w:val="-2"/>
      <w:sz w:val="16"/>
    </w:r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BalloonText">
    <w:name w:val="Balloon Text"/>
    <w:basedOn w:val="Normal"/>
    <w:semiHidden/>
    <w:rPr>
      <w:rFonts w:ascii="Tahoma" w:hAnsi="Tahoma" w:cs="Tahoma"/>
      <w:sz w:val="16"/>
      <w:szCs w:val="16"/>
    </w:rPr>
  </w:style>
  <w:style w:type="character" w:styleId="Hyperlink">
    <w:name w:val="Hyperlink"/>
    <w:rPr>
      <w:color w:val="3754D4"/>
      <w:u w:val="single"/>
    </w:rPr>
  </w:style>
  <w:style w:type="character" w:styleId="Strong">
    <w:name w:val="Strong"/>
    <w:qFormat/>
    <w:rPr>
      <w:b/>
      <w:bCs/>
    </w:rPr>
  </w:style>
  <w:style w:type="character" w:customStyle="1" w:styleId="Char7">
    <w:name w:val="Char7"/>
    <w:rPr>
      <w:rFonts w:ascii="Arial" w:hAnsi="Arial"/>
      <w:color w:val="000000"/>
      <w:spacing w:val="-5"/>
      <w:sz w:val="18"/>
      <w:lang w:val="en-US" w:eastAsia="en-US" w:bidi="ar-SA"/>
    </w:rPr>
  </w:style>
  <w:style w:type="paragraph" w:styleId="BodyText2">
    <w:name w:val="Body Text 2"/>
    <w:basedOn w:val="Normal"/>
    <w:pPr>
      <w:ind w:left="360"/>
    </w:pPr>
    <w:rPr>
      <w:rFonts w:ascii="Bookman Old Style" w:hAnsi="Bookman Old Style"/>
      <w:b/>
      <w:i/>
      <w:color w:val="auto"/>
      <w:sz w:val="20"/>
    </w:rPr>
  </w:style>
  <w:style w:type="character" w:customStyle="1" w:styleId="Char4">
    <w:name w:val="Char4"/>
    <w:rPr>
      <w:rFonts w:ascii="Bookman Old Style" w:hAnsi="Bookman Old Style"/>
      <w:b/>
      <w:i/>
      <w:lang w:val="en-US" w:eastAsia="en-US" w:bidi="ar-SA"/>
    </w:rPr>
  </w:style>
  <w:style w:type="character" w:customStyle="1" w:styleId="Char6">
    <w:name w:val="Char6"/>
    <w:rPr>
      <w:rFonts w:ascii="Arial" w:hAnsi="Arial"/>
      <w:color w:val="000000"/>
      <w:spacing w:val="-5"/>
      <w:sz w:val="24"/>
      <w:lang w:val="en-US" w:eastAsia="en-US" w:bidi="ar-SA"/>
    </w:rPr>
  </w:style>
  <w:style w:type="character" w:customStyle="1" w:styleId="Char5">
    <w:name w:val="Char5"/>
    <w:semiHidden/>
    <w:rPr>
      <w:rFonts w:ascii="Tahoma" w:hAnsi="Tahoma" w:cs="Tahoma"/>
      <w:color w:val="000000"/>
      <w:sz w:val="16"/>
      <w:szCs w:val="16"/>
      <w:lang w:val="en-US" w:eastAsia="en-US" w:bidi="ar-SA"/>
    </w:rPr>
  </w:style>
  <w:style w:type="paragraph" w:styleId="NormalWeb">
    <w:name w:val="Normal (Web)"/>
    <w:basedOn w:val="Normal"/>
    <w:pPr>
      <w:spacing w:before="100" w:beforeAutospacing="1" w:after="100" w:afterAutospacing="1"/>
    </w:pPr>
    <w:rPr>
      <w:color w:val="auto"/>
      <w:szCs w:val="24"/>
    </w:rPr>
  </w:style>
  <w:style w:type="paragraph" w:customStyle="1" w:styleId="NormalTIMS">
    <w:name w:val="NormalTIMS"/>
    <w:basedOn w:val="Normal"/>
    <w:pPr>
      <w:tabs>
        <w:tab w:val="left" w:pos="475"/>
      </w:tabs>
      <w:spacing w:line="192" w:lineRule="auto"/>
      <w:jc w:val="both"/>
    </w:pPr>
    <w:rPr>
      <w:color w:val="auto"/>
    </w:rPr>
  </w:style>
  <w:style w:type="paragraph" w:styleId="ListBullet2">
    <w:name w:val="List Bullet 2"/>
    <w:basedOn w:val="Normal"/>
    <w:autoRedefine/>
    <w:pPr>
      <w:widowControl w:val="0"/>
      <w:numPr>
        <w:numId w:val="28"/>
      </w:numPr>
      <w:tabs>
        <w:tab w:val="clear" w:pos="360"/>
      </w:tabs>
      <w:ind w:left="810" w:hanging="540"/>
      <w:jc w:val="both"/>
    </w:pPr>
    <w:rPr>
      <w:snapToGrid w:val="0"/>
      <w:color w:val="auto"/>
    </w:rPr>
  </w:style>
  <w:style w:type="paragraph" w:styleId="BodyTextIndent">
    <w:name w:val="Body Text Indent"/>
    <w:basedOn w:val="Normal"/>
    <w:pPr>
      <w:widowControl w:val="0"/>
      <w:spacing w:after="120"/>
      <w:ind w:left="360"/>
    </w:pPr>
    <w:rPr>
      <w:rFonts w:ascii="Century Gothic" w:hAnsi="Century Gothic"/>
      <w:snapToGrid w:val="0"/>
      <w:color w:val="auto"/>
    </w:rPr>
  </w:style>
  <w:style w:type="character" w:customStyle="1" w:styleId="Char3">
    <w:name w:val="Char3"/>
    <w:rPr>
      <w:rFonts w:ascii="Century Gothic" w:hAnsi="Century Gothic"/>
      <w:snapToGrid w:val="0"/>
      <w:sz w:val="24"/>
      <w:lang w:val="en-US" w:eastAsia="en-US" w:bidi="ar-SA"/>
    </w:rPr>
  </w:style>
  <w:style w:type="paragraph" w:styleId="BodyText3">
    <w:name w:val="Body Text 3"/>
    <w:basedOn w:val="Normal"/>
    <w:pPr>
      <w:spacing w:after="120"/>
    </w:pPr>
    <w:rPr>
      <w:color w:val="auto"/>
      <w:sz w:val="16"/>
      <w:szCs w:val="16"/>
    </w:rPr>
  </w:style>
  <w:style w:type="character" w:customStyle="1" w:styleId="Char2">
    <w:name w:val="Char2"/>
    <w:rPr>
      <w:sz w:val="16"/>
      <w:szCs w:val="16"/>
      <w:lang w:val="en-US" w:eastAsia="en-US" w:bidi="ar-SA"/>
    </w:rPr>
  </w:style>
  <w:style w:type="character" w:customStyle="1" w:styleId="redline1">
    <w:name w:val="redline1"/>
    <w:rPr>
      <w:b w:val="0"/>
      <w:bCs w:val="0"/>
      <w:i/>
      <w:iCs/>
      <w:color w:val="FF0000"/>
      <w:shd w:val="clear" w:color="auto" w:fill="auto"/>
    </w:rPr>
  </w:style>
  <w:style w:type="paragraph" w:styleId="ListParagraph">
    <w:name w:val="List Paragraph"/>
    <w:basedOn w:val="Normal"/>
    <w:uiPriority w:val="34"/>
    <w:qFormat/>
    <w:pPr>
      <w:ind w:left="720"/>
    </w:pPr>
    <w:rPr>
      <w:color w:val="auto"/>
      <w:szCs w:val="24"/>
    </w:rPr>
  </w:style>
  <w:style w:type="character" w:styleId="CommentReference">
    <w:name w:val="annotation reference"/>
    <w:semiHidden/>
    <w:unhideWhenUsed/>
    <w:rPr>
      <w:sz w:val="16"/>
      <w:szCs w:val="16"/>
    </w:rPr>
  </w:style>
  <w:style w:type="character" w:customStyle="1" w:styleId="Char1">
    <w:name w:val="Char1"/>
    <w:semiHidden/>
    <w:rPr>
      <w:lang w:bidi="ar-SA"/>
    </w:rPr>
  </w:style>
  <w:style w:type="paragraph" w:styleId="CommentText">
    <w:name w:val="annotation text"/>
    <w:basedOn w:val="Normal"/>
    <w:semiHidden/>
    <w:unhideWhenUsed/>
    <w:rPr>
      <w:color w:val="auto"/>
      <w:sz w:val="20"/>
    </w:rPr>
  </w:style>
  <w:style w:type="character" w:customStyle="1" w:styleId="Char">
    <w:name w:val="Char"/>
    <w:semiHidden/>
    <w:rPr>
      <w:b/>
      <w:bCs/>
      <w:lang w:bidi="ar-SA"/>
    </w:rPr>
  </w:style>
  <w:style w:type="paragraph" w:styleId="CommentSubject">
    <w:name w:val="annotation subject"/>
    <w:basedOn w:val="CommentText"/>
    <w:next w:val="CommentText"/>
    <w:semiHidden/>
    <w:unhideWhenUsed/>
    <w:rPr>
      <w:b/>
      <w:bCs/>
    </w:rPr>
  </w:style>
  <w:style w:type="paragraph" w:customStyle="1" w:styleId="Default">
    <w:name w:val="Default"/>
    <w:pPr>
      <w:autoSpaceDE w:val="0"/>
      <w:autoSpaceDN w:val="0"/>
      <w:adjustRightInd w:val="0"/>
    </w:pPr>
    <w:rPr>
      <w:rFonts w:eastAsia="Calibri"/>
      <w:color w:val="000000"/>
      <w:sz w:val="24"/>
      <w:szCs w:val="24"/>
    </w:rPr>
  </w:style>
  <w:style w:type="character" w:styleId="FollowedHyperlink">
    <w:name w:val="FollowedHyperlink"/>
    <w:rPr>
      <w:color w:val="800080"/>
      <w:u w:val="single"/>
    </w:rPr>
  </w:style>
  <w:style w:type="character" w:customStyle="1" w:styleId="MessageHeaderChar">
    <w:name w:val="Message Header Char"/>
    <w:link w:val="MessageHeader"/>
    <w:rsid w:val="009701EB"/>
    <w:rPr>
      <w:rFonts w:ascii="Arial" w:hAnsi="Arial"/>
      <w:color w:val="000000"/>
      <w:spacing w:val="-5"/>
      <w:sz w:val="24"/>
    </w:rPr>
  </w:style>
  <w:style w:type="character" w:customStyle="1" w:styleId="Heading6Char">
    <w:name w:val="Heading 6 Char"/>
    <w:link w:val="Heading6"/>
    <w:semiHidden/>
    <w:rsid w:val="00EA2098"/>
    <w:rPr>
      <w:rFonts w:ascii="Calibri" w:eastAsia="Times New Roman" w:hAnsi="Calibri" w:cs="Times New Roman"/>
      <w:b/>
      <w:bCs/>
      <w:color w:val="000000"/>
      <w:sz w:val="22"/>
      <w:szCs w:val="22"/>
    </w:rPr>
  </w:style>
  <w:style w:type="character" w:customStyle="1" w:styleId="FooterChar">
    <w:name w:val="Footer Char"/>
    <w:link w:val="Footer"/>
    <w:uiPriority w:val="99"/>
    <w:rsid w:val="00504A1F"/>
    <w:rPr>
      <w:rFonts w:ascii="Arial" w:hAnsi="Arial"/>
      <w:color w:val="000000"/>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73612">
      <w:bodyDiv w:val="1"/>
      <w:marLeft w:val="0"/>
      <w:marRight w:val="0"/>
      <w:marTop w:val="0"/>
      <w:marBottom w:val="0"/>
      <w:divBdr>
        <w:top w:val="none" w:sz="0" w:space="0" w:color="auto"/>
        <w:left w:val="none" w:sz="0" w:space="0" w:color="auto"/>
        <w:bottom w:val="none" w:sz="0" w:space="0" w:color="auto"/>
        <w:right w:val="none" w:sz="0" w:space="0" w:color="auto"/>
      </w:divBdr>
    </w:div>
    <w:div w:id="845052060">
      <w:bodyDiv w:val="1"/>
      <w:marLeft w:val="0"/>
      <w:marRight w:val="0"/>
      <w:marTop w:val="0"/>
      <w:marBottom w:val="0"/>
      <w:divBdr>
        <w:top w:val="none" w:sz="0" w:space="0" w:color="auto"/>
        <w:left w:val="none" w:sz="0" w:space="0" w:color="auto"/>
        <w:bottom w:val="none" w:sz="0" w:space="0" w:color="auto"/>
        <w:right w:val="none" w:sz="0" w:space="0" w:color="auto"/>
      </w:divBdr>
    </w:div>
    <w:div w:id="1187594429">
      <w:bodyDiv w:val="1"/>
      <w:marLeft w:val="0"/>
      <w:marRight w:val="0"/>
      <w:marTop w:val="0"/>
      <w:marBottom w:val="0"/>
      <w:divBdr>
        <w:top w:val="none" w:sz="0" w:space="0" w:color="auto"/>
        <w:left w:val="none" w:sz="0" w:space="0" w:color="auto"/>
        <w:bottom w:val="none" w:sz="0" w:space="0" w:color="auto"/>
        <w:right w:val="none" w:sz="0" w:space="0" w:color="auto"/>
      </w:divBdr>
    </w:div>
    <w:div w:id="1436368692">
      <w:bodyDiv w:val="1"/>
      <w:marLeft w:val="0"/>
      <w:marRight w:val="0"/>
      <w:marTop w:val="0"/>
      <w:marBottom w:val="0"/>
      <w:divBdr>
        <w:top w:val="none" w:sz="0" w:space="0" w:color="auto"/>
        <w:left w:val="none" w:sz="0" w:space="0" w:color="auto"/>
        <w:bottom w:val="none" w:sz="0" w:space="0" w:color="auto"/>
        <w:right w:val="none" w:sz="0" w:space="0" w:color="auto"/>
      </w:divBdr>
    </w:div>
    <w:div w:id="1596477193">
      <w:bodyDiv w:val="1"/>
      <w:marLeft w:val="0"/>
      <w:marRight w:val="0"/>
      <w:marTop w:val="0"/>
      <w:marBottom w:val="0"/>
      <w:divBdr>
        <w:top w:val="none" w:sz="0" w:space="0" w:color="auto"/>
        <w:left w:val="none" w:sz="0" w:space="0" w:color="auto"/>
        <w:bottom w:val="none" w:sz="0" w:space="0" w:color="auto"/>
        <w:right w:val="none" w:sz="0" w:space="0" w:color="auto"/>
      </w:divBdr>
    </w:div>
    <w:div w:id="1644503987">
      <w:bodyDiv w:val="1"/>
      <w:marLeft w:val="0"/>
      <w:marRight w:val="0"/>
      <w:marTop w:val="0"/>
      <w:marBottom w:val="0"/>
      <w:divBdr>
        <w:top w:val="none" w:sz="0" w:space="0" w:color="auto"/>
        <w:left w:val="none" w:sz="0" w:space="0" w:color="auto"/>
        <w:bottom w:val="none" w:sz="0" w:space="0" w:color="auto"/>
        <w:right w:val="none" w:sz="0" w:space="0" w:color="auto"/>
      </w:divBdr>
    </w:div>
    <w:div w:id="1771392850">
      <w:bodyDiv w:val="1"/>
      <w:marLeft w:val="0"/>
      <w:marRight w:val="0"/>
      <w:marTop w:val="0"/>
      <w:marBottom w:val="0"/>
      <w:divBdr>
        <w:top w:val="none" w:sz="0" w:space="0" w:color="auto"/>
        <w:left w:val="none" w:sz="0" w:space="0" w:color="auto"/>
        <w:bottom w:val="none" w:sz="0" w:space="0" w:color="auto"/>
        <w:right w:val="none" w:sz="0" w:space="0" w:color="auto"/>
      </w:divBdr>
    </w:div>
    <w:div w:id="1825581019">
      <w:bodyDiv w:val="1"/>
      <w:marLeft w:val="0"/>
      <w:marRight w:val="0"/>
      <w:marTop w:val="0"/>
      <w:marBottom w:val="0"/>
      <w:divBdr>
        <w:top w:val="none" w:sz="0" w:space="0" w:color="auto"/>
        <w:left w:val="none" w:sz="0" w:space="0" w:color="auto"/>
        <w:bottom w:val="none" w:sz="0" w:space="0" w:color="auto"/>
        <w:right w:val="none" w:sz="0" w:space="0" w:color="auto"/>
      </w:divBdr>
    </w:div>
    <w:div w:id="1874539715">
      <w:bodyDiv w:val="1"/>
      <w:marLeft w:val="0"/>
      <w:marRight w:val="0"/>
      <w:marTop w:val="0"/>
      <w:marBottom w:val="0"/>
      <w:divBdr>
        <w:top w:val="none" w:sz="0" w:space="0" w:color="auto"/>
        <w:left w:val="none" w:sz="0" w:space="0" w:color="auto"/>
        <w:bottom w:val="none" w:sz="0" w:space="0" w:color="auto"/>
        <w:right w:val="none" w:sz="0" w:space="0" w:color="auto"/>
      </w:divBdr>
    </w:div>
    <w:div w:id="1988973461">
      <w:bodyDiv w:val="1"/>
      <w:marLeft w:val="0"/>
      <w:marRight w:val="0"/>
      <w:marTop w:val="0"/>
      <w:marBottom w:val="0"/>
      <w:divBdr>
        <w:top w:val="single" w:sz="12" w:space="0" w:color="767575"/>
        <w:left w:val="none" w:sz="0" w:space="0" w:color="auto"/>
        <w:bottom w:val="none" w:sz="0" w:space="0" w:color="auto"/>
        <w:right w:val="none" w:sz="0" w:space="0" w:color="auto"/>
      </w:divBdr>
      <w:divsChild>
        <w:div w:id="766929610">
          <w:marLeft w:val="0"/>
          <w:marRight w:val="0"/>
          <w:marTop w:val="0"/>
          <w:marBottom w:val="0"/>
          <w:divBdr>
            <w:top w:val="none" w:sz="0" w:space="0" w:color="auto"/>
            <w:left w:val="none" w:sz="0" w:space="0" w:color="auto"/>
            <w:bottom w:val="none" w:sz="0" w:space="0" w:color="auto"/>
            <w:right w:val="none" w:sz="0" w:space="0" w:color="auto"/>
          </w:divBdr>
          <w:divsChild>
            <w:div w:id="483006880">
              <w:marLeft w:val="0"/>
              <w:marRight w:val="0"/>
              <w:marTop w:val="0"/>
              <w:marBottom w:val="0"/>
              <w:divBdr>
                <w:top w:val="none" w:sz="0" w:space="0" w:color="auto"/>
                <w:left w:val="none" w:sz="0" w:space="0" w:color="auto"/>
                <w:bottom w:val="none" w:sz="0" w:space="0" w:color="auto"/>
                <w:right w:val="none" w:sz="0" w:space="0" w:color="auto"/>
              </w:divBdr>
              <w:divsChild>
                <w:div w:id="566960768">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07649483">
                      <w:marLeft w:val="0"/>
                      <w:marRight w:val="0"/>
                      <w:marTop w:val="0"/>
                      <w:marBottom w:val="0"/>
                      <w:divBdr>
                        <w:top w:val="none" w:sz="0" w:space="0" w:color="auto"/>
                        <w:left w:val="none" w:sz="0" w:space="0" w:color="auto"/>
                        <w:bottom w:val="none" w:sz="0" w:space="0" w:color="auto"/>
                        <w:right w:val="none" w:sz="0" w:space="0" w:color="auto"/>
                      </w:divBdr>
                      <w:divsChild>
                        <w:div w:id="976179288">
                          <w:marLeft w:val="0"/>
                          <w:marRight w:val="0"/>
                          <w:marTop w:val="0"/>
                          <w:marBottom w:val="0"/>
                          <w:divBdr>
                            <w:top w:val="none" w:sz="0" w:space="0" w:color="auto"/>
                            <w:left w:val="none" w:sz="0" w:space="0" w:color="auto"/>
                            <w:bottom w:val="none" w:sz="0" w:space="0" w:color="auto"/>
                            <w:right w:val="none" w:sz="0" w:space="0" w:color="auto"/>
                          </w:divBdr>
                          <w:divsChild>
                            <w:div w:id="587693133">
                              <w:marLeft w:val="0"/>
                              <w:marRight w:val="0"/>
                              <w:marTop w:val="0"/>
                              <w:marBottom w:val="0"/>
                              <w:divBdr>
                                <w:top w:val="none" w:sz="0" w:space="0" w:color="auto"/>
                                <w:left w:val="none" w:sz="0" w:space="0" w:color="auto"/>
                                <w:bottom w:val="none" w:sz="0" w:space="0" w:color="auto"/>
                                <w:right w:val="none" w:sz="0" w:space="0" w:color="auto"/>
                              </w:divBdr>
                              <w:divsChild>
                                <w:div w:id="11738368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548855">
      <w:bodyDiv w:val="1"/>
      <w:marLeft w:val="0"/>
      <w:marRight w:val="0"/>
      <w:marTop w:val="0"/>
      <w:marBottom w:val="0"/>
      <w:divBdr>
        <w:top w:val="none" w:sz="0" w:space="0" w:color="auto"/>
        <w:left w:val="none" w:sz="0" w:space="0" w:color="auto"/>
        <w:bottom w:val="none" w:sz="0" w:space="0" w:color="auto"/>
        <w:right w:val="none" w:sz="0" w:space="0" w:color="auto"/>
      </w:divBdr>
    </w:div>
    <w:div w:id="2044867672">
      <w:bodyDiv w:val="1"/>
      <w:marLeft w:val="0"/>
      <w:marRight w:val="0"/>
      <w:marTop w:val="0"/>
      <w:marBottom w:val="0"/>
      <w:divBdr>
        <w:top w:val="none" w:sz="0" w:space="0" w:color="auto"/>
        <w:left w:val="none" w:sz="0" w:space="0" w:color="auto"/>
        <w:bottom w:val="none" w:sz="0" w:space="0" w:color="auto"/>
        <w:right w:val="none" w:sz="0" w:space="0" w:color="auto"/>
      </w:divBdr>
    </w:div>
    <w:div w:id="20531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d37bf089f2af64c6e7c650a9bdebab24&amp;_xfercite=%3ccite%20cc%3d%22USA%22%3e%3c%21%5bCDATA%5b8%20CCR%209792.10%5d%5d%3e%3c%2fcite%3e&amp;_butType=4&amp;_butStat=0&amp;_butNum=1&amp;_butInline=1&amp;_butinfo=CA%20LAB%204062&amp;_fmtstr=FULL&amp;docnum=1&amp;_startdoc=1&amp;wchp=dGLbVlz-zSkAl&amp;_md5=74717f80baef7c7e92451e0a4bd2d47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1863-A14A-4DAA-B37C-161E3D50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8420</Words>
  <Characters>47997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Memo</vt:lpstr>
    </vt:vector>
  </TitlesOfParts>
  <Company/>
  <LinksUpToDate>false</LinksUpToDate>
  <CharactersWithSpaces>56305</CharactersWithSpaces>
  <SharedDoc>false</SharedDoc>
  <HLinks>
    <vt:vector size="12" baseType="variant">
      <vt:variant>
        <vt:i4>5242952</vt:i4>
      </vt:variant>
      <vt:variant>
        <vt:i4>3</vt:i4>
      </vt:variant>
      <vt:variant>
        <vt:i4>0</vt:i4>
      </vt:variant>
      <vt:variant>
        <vt:i4>5</vt:i4>
      </vt:variant>
      <vt:variant>
        <vt:lpwstr>http://www.cms.gov/AcuteInpatientPPS/</vt:lpwstr>
      </vt:variant>
      <vt:variant>
        <vt:lpwstr/>
      </vt: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Brenda-113</dc:creator>
  <cp:lastModifiedBy>Medrano, Perla</cp:lastModifiedBy>
  <cp:revision>3</cp:revision>
  <cp:lastPrinted>2013-10-11T23:32:00Z</cp:lastPrinted>
  <dcterms:created xsi:type="dcterms:W3CDTF">2013-10-11T23:34:00Z</dcterms:created>
  <dcterms:modified xsi:type="dcterms:W3CDTF">2013-10-11T23:54:00Z</dcterms:modified>
</cp:coreProperties>
</file>