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27" w:rsidRDefault="004F0132" w:rsidP="00406DC3">
      <w:pPr>
        <w:pStyle w:val="MessageHeader"/>
        <w:spacing w:after="0" w:line="240" w:lineRule="auto"/>
        <w:ind w:left="432" w:hanging="432"/>
        <w:jc w:val="center"/>
      </w:pPr>
      <w:r>
        <w:rPr>
          <w:noProof/>
        </w:rPr>
        <w:drawing>
          <wp:inline distT="0" distB="0" distL="0" distR="0" wp14:anchorId="51490831" wp14:editId="79CC17FD">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A67F27" w:rsidRDefault="00A67F27" w:rsidP="00A67F27">
      <w:pPr>
        <w:pStyle w:val="MessageHeader"/>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A67F27" w:rsidRPr="00A67F27" w:rsidRDefault="00A67F27" w:rsidP="00A67F27">
      <w:pPr>
        <w:jc w:val="center"/>
        <w:rPr>
          <w:rFonts w:ascii="Gill Sans MT" w:hAnsi="Gill Sans MT"/>
          <w:strike w:val="0"/>
          <w:sz w:val="20"/>
          <w:szCs w:val="20"/>
        </w:rPr>
      </w:pPr>
      <w:r w:rsidRPr="00A67F27">
        <w:rPr>
          <w:rFonts w:ascii="Gill Sans MT" w:hAnsi="Gill Sans MT"/>
          <w:strike w:val="0"/>
          <w:sz w:val="20"/>
          <w:szCs w:val="20"/>
        </w:rPr>
        <w:t>1111 Broadway Suite 2350, Oakland, CA  94607 • Tel: (510) 251-9470 • Fax: (510) 251-9485</w:t>
      </w:r>
    </w:p>
    <w:p w:rsidR="00A67F27" w:rsidRDefault="00A67F27" w:rsidP="00A67F27">
      <w:pPr>
        <w:jc w:val="center"/>
        <w:rPr>
          <w:rFonts w:ascii="Gill Sans MT" w:hAnsi="Gill Sans MT"/>
          <w:sz w:val="20"/>
          <w:szCs w:val="20"/>
        </w:rPr>
      </w:pPr>
    </w:p>
    <w:p w:rsidR="00C233D3" w:rsidRDefault="00C233D3" w:rsidP="00531384">
      <w:pPr>
        <w:jc w:val="center"/>
        <w:rPr>
          <w:rFonts w:ascii="Arial" w:hAnsi="Arial" w:cs="Arial"/>
          <w:strike w:val="0"/>
          <w:color w:val="000000"/>
          <w:sz w:val="22"/>
          <w:szCs w:val="22"/>
        </w:rPr>
      </w:pPr>
    </w:p>
    <w:p w:rsidR="00C233D3" w:rsidRDefault="00C233D3" w:rsidP="00531384">
      <w:pPr>
        <w:jc w:val="center"/>
        <w:rPr>
          <w:rFonts w:ascii="Arial" w:hAnsi="Arial" w:cs="Arial"/>
          <w:strike w:val="0"/>
          <w:color w:val="000000"/>
          <w:sz w:val="22"/>
          <w:szCs w:val="22"/>
        </w:rPr>
      </w:pPr>
    </w:p>
    <w:p w:rsidR="00A67F27" w:rsidRPr="00043F59" w:rsidRDefault="00F24ADF" w:rsidP="00531384">
      <w:pPr>
        <w:jc w:val="center"/>
        <w:rPr>
          <w:rFonts w:ascii="Arial" w:hAnsi="Arial" w:cs="Arial"/>
          <w:strike w:val="0"/>
          <w:color w:val="000000"/>
          <w:sz w:val="22"/>
          <w:szCs w:val="22"/>
        </w:rPr>
      </w:pPr>
      <w:r>
        <w:rPr>
          <w:rFonts w:ascii="Arial" w:hAnsi="Arial" w:cs="Arial"/>
          <w:strike w:val="0"/>
          <w:color w:val="000000"/>
          <w:sz w:val="22"/>
          <w:szCs w:val="22"/>
        </w:rPr>
        <w:t>Dec</w:t>
      </w:r>
      <w:r w:rsidR="0054210C" w:rsidRPr="00043F59">
        <w:rPr>
          <w:rFonts w:ascii="Arial" w:hAnsi="Arial" w:cs="Arial"/>
          <w:strike w:val="0"/>
          <w:color w:val="000000"/>
          <w:sz w:val="22"/>
          <w:szCs w:val="22"/>
        </w:rPr>
        <w:t xml:space="preserve">ember </w:t>
      </w:r>
      <w:r>
        <w:rPr>
          <w:rFonts w:ascii="Arial" w:hAnsi="Arial" w:cs="Arial"/>
          <w:strike w:val="0"/>
          <w:color w:val="000000"/>
          <w:sz w:val="22"/>
          <w:szCs w:val="22"/>
        </w:rPr>
        <w:t>26</w:t>
      </w:r>
      <w:r w:rsidR="00A67F27" w:rsidRPr="00043F59">
        <w:rPr>
          <w:rFonts w:ascii="Arial" w:hAnsi="Arial" w:cs="Arial"/>
          <w:strike w:val="0"/>
          <w:color w:val="000000"/>
          <w:sz w:val="22"/>
          <w:szCs w:val="22"/>
        </w:rPr>
        <w:t>, 201</w:t>
      </w:r>
      <w:r w:rsidR="00E749BC" w:rsidRPr="00043F59">
        <w:rPr>
          <w:rFonts w:ascii="Arial" w:hAnsi="Arial" w:cs="Arial"/>
          <w:strike w:val="0"/>
          <w:color w:val="000000"/>
          <w:sz w:val="22"/>
          <w:szCs w:val="22"/>
        </w:rPr>
        <w:t>3</w:t>
      </w:r>
    </w:p>
    <w:p w:rsidR="00B26924" w:rsidRPr="00043F59" w:rsidRDefault="00B26924"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C233D3" w:rsidRPr="00043F59" w:rsidRDefault="00C233D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440C24"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rPr>
      </w:pPr>
      <w:r w:rsidRPr="00440C24">
        <w:rPr>
          <w:b w:val="0"/>
          <w:bCs w:val="0"/>
          <w:color w:val="000000"/>
          <w:sz w:val="22"/>
          <w:szCs w:val="22"/>
        </w:rPr>
        <w:t>VIA E-MAIL</w:t>
      </w:r>
      <w:r w:rsidR="00FC4B7D" w:rsidRPr="00440C24">
        <w:rPr>
          <w:b w:val="0"/>
          <w:bCs w:val="0"/>
          <w:color w:val="000000"/>
          <w:sz w:val="22"/>
          <w:szCs w:val="22"/>
        </w:rPr>
        <w:t xml:space="preserve"> – DWC</w:t>
      </w:r>
      <w:r w:rsidR="00F42602" w:rsidRPr="00440C24">
        <w:rPr>
          <w:b w:val="0"/>
          <w:bCs w:val="0"/>
          <w:color w:val="000000"/>
          <w:sz w:val="22"/>
          <w:szCs w:val="22"/>
        </w:rPr>
        <w:t>Rule</w:t>
      </w:r>
      <w:r w:rsidR="00FC4B7D" w:rsidRPr="00440C24">
        <w:rPr>
          <w:b w:val="0"/>
          <w:bCs w:val="0"/>
          <w:color w:val="000000"/>
          <w:sz w:val="22"/>
          <w:szCs w:val="22"/>
        </w:rPr>
        <w:t>s@</w:t>
      </w:r>
      <w:r w:rsidR="00F42602" w:rsidRPr="00440C24">
        <w:rPr>
          <w:b w:val="0"/>
          <w:bCs w:val="0"/>
          <w:color w:val="000000"/>
          <w:sz w:val="22"/>
          <w:szCs w:val="22"/>
        </w:rPr>
        <w:t>hq.</w:t>
      </w:r>
      <w:r w:rsidR="00FC4B7D" w:rsidRPr="00440C24">
        <w:rPr>
          <w:b w:val="0"/>
          <w:bCs w:val="0"/>
          <w:color w:val="000000"/>
          <w:sz w:val="22"/>
          <w:szCs w:val="22"/>
        </w:rPr>
        <w:t>dir.ca.gov</w:t>
      </w:r>
    </w:p>
    <w:p w:rsidR="00406DC3" w:rsidRPr="00043F59" w:rsidRDefault="00406DC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Maureen Gray</w:t>
      </w:r>
      <w:r w:rsidR="00FC4B7D" w:rsidRPr="00043F59">
        <w:rPr>
          <w:b w:val="0"/>
          <w:bCs w:val="0"/>
          <w:color w:val="000000"/>
          <w:sz w:val="22"/>
          <w:szCs w:val="22"/>
          <w:u w:val="none"/>
        </w:rPr>
        <w:t xml:space="preserve">, </w:t>
      </w:r>
      <w:r w:rsidR="00440C24">
        <w:rPr>
          <w:b w:val="0"/>
          <w:bCs w:val="0"/>
          <w:color w:val="000000"/>
          <w:sz w:val="22"/>
          <w:szCs w:val="22"/>
          <w:u w:val="none"/>
        </w:rPr>
        <w:t>R</w:t>
      </w:r>
      <w:r w:rsidR="00FC4B7D" w:rsidRPr="00043F59">
        <w:rPr>
          <w:b w:val="0"/>
          <w:bCs w:val="0"/>
          <w:color w:val="000000"/>
          <w:sz w:val="22"/>
          <w:szCs w:val="22"/>
          <w:u w:val="none"/>
        </w:rPr>
        <w:t xml:space="preserve">egulations </w:t>
      </w:r>
      <w:r w:rsidR="00440C24">
        <w:rPr>
          <w:b w:val="0"/>
          <w:bCs w:val="0"/>
          <w:color w:val="000000"/>
          <w:sz w:val="22"/>
          <w:szCs w:val="22"/>
          <w:u w:val="none"/>
        </w:rPr>
        <w:t>C</w:t>
      </w:r>
      <w:r w:rsidR="00FC4B7D" w:rsidRPr="00043F59">
        <w:rPr>
          <w:b w:val="0"/>
          <w:bCs w:val="0"/>
          <w:color w:val="000000"/>
          <w:sz w:val="22"/>
          <w:szCs w:val="22"/>
          <w:u w:val="none"/>
        </w:rPr>
        <w:t>oordinator</w:t>
      </w:r>
    </w:p>
    <w:p w:rsidR="00F42602" w:rsidRPr="00043F59" w:rsidRDefault="00F42602"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Department of Industrial Relations</w:t>
      </w:r>
    </w:p>
    <w:p w:rsidR="00A67F27"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Division of Workers’ Compensation </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1515 Clay Street, 18th floor</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Oakland</w:t>
      </w:r>
      <w:r w:rsidR="00A67F27" w:rsidRPr="00043F59">
        <w:rPr>
          <w:b w:val="0"/>
          <w:bCs w:val="0"/>
          <w:color w:val="000000"/>
          <w:sz w:val="22"/>
          <w:szCs w:val="22"/>
          <w:u w:val="none"/>
        </w:rPr>
        <w:t>, CA  94</w:t>
      </w:r>
      <w:r w:rsidR="00AB4A31">
        <w:rPr>
          <w:b w:val="0"/>
          <w:bCs w:val="0"/>
          <w:color w:val="000000"/>
          <w:sz w:val="22"/>
          <w:szCs w:val="22"/>
          <w:u w:val="none"/>
        </w:rPr>
        <w:t>61</w:t>
      </w:r>
      <w:r w:rsidR="00A67F27" w:rsidRPr="00043F59">
        <w:rPr>
          <w:b w:val="0"/>
          <w:bCs w:val="0"/>
          <w:color w:val="000000"/>
          <w:sz w:val="22"/>
          <w:szCs w:val="22"/>
          <w:u w:val="none"/>
        </w:rPr>
        <w:t xml:space="preserve">2 </w:t>
      </w:r>
    </w:p>
    <w:p w:rsidR="00C233D3"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406DC3"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136E4B" w:rsidRPr="00043F59" w:rsidRDefault="00406DC3"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sidRPr="00043F59">
        <w:rPr>
          <w:bCs w:val="0"/>
          <w:color w:val="000000"/>
          <w:sz w:val="22"/>
          <w:szCs w:val="22"/>
          <w:u w:val="none"/>
        </w:rPr>
        <w:t xml:space="preserve">   RE: </w:t>
      </w:r>
      <w:r w:rsidR="00796983" w:rsidRPr="00043F59">
        <w:rPr>
          <w:bCs w:val="0"/>
          <w:color w:val="000000"/>
          <w:sz w:val="22"/>
          <w:szCs w:val="22"/>
          <w:u w:val="none"/>
        </w:rPr>
        <w:t xml:space="preserve">CWCI </w:t>
      </w:r>
      <w:r w:rsidR="009F64B8">
        <w:rPr>
          <w:bCs w:val="0"/>
          <w:color w:val="000000"/>
          <w:sz w:val="22"/>
          <w:szCs w:val="22"/>
          <w:u w:val="none"/>
        </w:rPr>
        <w:t>1</w:t>
      </w:r>
      <w:r w:rsidR="009F64B8" w:rsidRPr="009F64B8">
        <w:rPr>
          <w:bCs w:val="0"/>
          <w:color w:val="000000"/>
          <w:sz w:val="22"/>
          <w:szCs w:val="22"/>
          <w:u w:val="none"/>
          <w:vertAlign w:val="superscript"/>
        </w:rPr>
        <w:t>st</w:t>
      </w:r>
      <w:r w:rsidR="009F64B8">
        <w:rPr>
          <w:bCs w:val="0"/>
          <w:color w:val="000000"/>
          <w:sz w:val="22"/>
          <w:szCs w:val="22"/>
          <w:u w:val="none"/>
        </w:rPr>
        <w:t xml:space="preserve"> 15-Day Comment </w:t>
      </w:r>
      <w:r w:rsidRPr="00043F59">
        <w:rPr>
          <w:bCs w:val="0"/>
          <w:color w:val="000000"/>
          <w:sz w:val="22"/>
          <w:szCs w:val="22"/>
          <w:u w:val="none"/>
        </w:rPr>
        <w:t xml:space="preserve">on </w:t>
      </w:r>
      <w:r w:rsidR="009F64B8">
        <w:rPr>
          <w:bCs w:val="0"/>
          <w:color w:val="000000"/>
          <w:sz w:val="22"/>
          <w:szCs w:val="22"/>
          <w:u w:val="none"/>
        </w:rPr>
        <w:t xml:space="preserve">Modifications to </w:t>
      </w:r>
      <w:r w:rsidR="00F42602" w:rsidRPr="00043F59">
        <w:rPr>
          <w:bCs w:val="0"/>
          <w:color w:val="000000"/>
          <w:sz w:val="22"/>
          <w:szCs w:val="22"/>
          <w:u w:val="none"/>
        </w:rPr>
        <w:t>Proposed</w:t>
      </w:r>
      <w:r w:rsidR="00E749BC" w:rsidRPr="00043F59">
        <w:rPr>
          <w:bCs w:val="0"/>
          <w:color w:val="000000"/>
          <w:sz w:val="22"/>
          <w:szCs w:val="22"/>
          <w:u w:val="none"/>
        </w:rPr>
        <w:t xml:space="preserve"> </w:t>
      </w:r>
      <w:r w:rsidR="00E46011" w:rsidRPr="00043F59">
        <w:rPr>
          <w:bCs w:val="0"/>
          <w:color w:val="000000"/>
          <w:sz w:val="22"/>
          <w:szCs w:val="22"/>
          <w:u w:val="none"/>
        </w:rPr>
        <w:t>MPN</w:t>
      </w:r>
      <w:r w:rsidR="00E749BC" w:rsidRPr="00043F59">
        <w:rPr>
          <w:bCs w:val="0"/>
          <w:color w:val="000000"/>
          <w:sz w:val="22"/>
          <w:szCs w:val="22"/>
          <w:u w:val="none"/>
        </w:rPr>
        <w:t xml:space="preserve"> Regulations</w:t>
      </w:r>
      <w:r w:rsidR="00136E4B" w:rsidRPr="00043F59">
        <w:rPr>
          <w:bCs w:val="0"/>
          <w:color w:val="000000"/>
          <w:sz w:val="22"/>
          <w:szCs w:val="22"/>
          <w:u w:val="none"/>
        </w:rPr>
        <w:t xml:space="preserve"> </w:t>
      </w:r>
    </w:p>
    <w:p w:rsidR="00A67F27" w:rsidRPr="00043F59" w:rsidRDefault="00136E4B"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sidRPr="00043F59">
        <w:rPr>
          <w:bCs w:val="0"/>
          <w:color w:val="000000"/>
          <w:sz w:val="22"/>
          <w:szCs w:val="22"/>
          <w:u w:val="none"/>
        </w:rPr>
        <w:t xml:space="preserve">         </w:t>
      </w:r>
      <w:r w:rsidR="002907DA" w:rsidRPr="00043F59">
        <w:rPr>
          <w:bCs w:val="0"/>
          <w:color w:val="000000"/>
          <w:sz w:val="22"/>
          <w:szCs w:val="22"/>
          <w:u w:val="none"/>
        </w:rPr>
        <w:t>Sections 97</w:t>
      </w:r>
      <w:r w:rsidRPr="00043F59">
        <w:rPr>
          <w:bCs w:val="0"/>
          <w:color w:val="000000"/>
          <w:sz w:val="22"/>
          <w:szCs w:val="22"/>
          <w:u w:val="none"/>
        </w:rPr>
        <w:t>67.1 - 9767.19</w:t>
      </w:r>
      <w:r w:rsidR="00E749BC" w:rsidRPr="00043F59">
        <w:rPr>
          <w:bCs w:val="0"/>
          <w:color w:val="000000"/>
          <w:sz w:val="22"/>
          <w:szCs w:val="22"/>
          <w:u w:val="none"/>
        </w:rPr>
        <w:t xml:space="preserve"> </w:t>
      </w:r>
      <w:r w:rsidR="00406DC3" w:rsidRPr="00043F59">
        <w:rPr>
          <w:bCs w:val="0"/>
          <w:color w:val="000000"/>
          <w:sz w:val="22"/>
          <w:szCs w:val="22"/>
          <w:u w:val="none"/>
        </w:rPr>
        <w:t xml:space="preserve"> </w:t>
      </w:r>
      <w:r w:rsidR="00A67F27" w:rsidRPr="00043F59">
        <w:rPr>
          <w:bCs w:val="0"/>
          <w:color w:val="000000"/>
          <w:sz w:val="22"/>
          <w:szCs w:val="22"/>
          <w:u w:val="none"/>
        </w:rPr>
        <w:t xml:space="preserve"> </w:t>
      </w:r>
    </w:p>
    <w:p w:rsidR="0037318C" w:rsidRPr="00043F59"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37318C"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C233D3" w:rsidRPr="00043F59" w:rsidRDefault="00C233D3"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A67F27" w:rsidRPr="00043F59" w:rsidRDefault="00A67F27" w:rsidP="00406DC3">
      <w:pPr>
        <w:tabs>
          <w:tab w:val="left" w:pos="720"/>
        </w:tabs>
        <w:rPr>
          <w:rFonts w:ascii="Arial" w:hAnsi="Arial" w:cs="Arial"/>
          <w:strike w:val="0"/>
          <w:color w:val="000000"/>
          <w:sz w:val="22"/>
          <w:szCs w:val="22"/>
        </w:rPr>
      </w:pPr>
      <w:r w:rsidRPr="00043F59">
        <w:rPr>
          <w:rFonts w:ascii="Arial" w:hAnsi="Arial" w:cs="Arial"/>
          <w:strike w:val="0"/>
          <w:color w:val="000000"/>
          <w:sz w:val="22"/>
          <w:szCs w:val="22"/>
        </w:rPr>
        <w:t xml:space="preserve">Dear Ms. Gray:  </w:t>
      </w:r>
    </w:p>
    <w:p w:rsidR="00A67F27" w:rsidRPr="00043F59" w:rsidRDefault="00A67F27" w:rsidP="00A67F27">
      <w:pPr>
        <w:rPr>
          <w:rFonts w:ascii="Arial" w:hAnsi="Arial" w:cs="Arial"/>
          <w:strike w:val="0"/>
          <w:color w:val="000000"/>
          <w:sz w:val="22"/>
          <w:szCs w:val="22"/>
        </w:rPr>
      </w:pPr>
    </w:p>
    <w:p w:rsidR="00043F59" w:rsidRPr="00043F59" w:rsidRDefault="00A67F27" w:rsidP="00043F59">
      <w:pPr>
        <w:keepLines/>
        <w:tabs>
          <w:tab w:val="left" w:pos="900"/>
        </w:tabs>
        <w:autoSpaceDE/>
        <w:autoSpaceDN/>
        <w:rPr>
          <w:rFonts w:ascii="Arial" w:hAnsi="Arial" w:cs="Arial"/>
          <w:strike w:val="0"/>
          <w:color w:val="000000"/>
          <w:sz w:val="22"/>
          <w:szCs w:val="22"/>
        </w:rPr>
      </w:pPr>
      <w:r w:rsidRPr="00043F59">
        <w:rPr>
          <w:rFonts w:ascii="Arial" w:hAnsi="Arial" w:cs="Arial"/>
          <w:strike w:val="0"/>
          <w:color w:val="000000"/>
          <w:sz w:val="22"/>
          <w:szCs w:val="22"/>
        </w:rPr>
        <w:t>Th</w:t>
      </w:r>
      <w:r w:rsidR="00F24ADF">
        <w:rPr>
          <w:rFonts w:ascii="Arial" w:hAnsi="Arial" w:cs="Arial"/>
          <w:strike w:val="0"/>
          <w:color w:val="000000"/>
          <w:sz w:val="22"/>
          <w:szCs w:val="22"/>
        </w:rPr>
        <w:t>ese</w:t>
      </w:r>
      <w:r w:rsidRPr="00043F59">
        <w:rPr>
          <w:rFonts w:ascii="Arial" w:hAnsi="Arial" w:cs="Arial"/>
          <w:strike w:val="0"/>
          <w:color w:val="000000"/>
          <w:sz w:val="22"/>
          <w:szCs w:val="22"/>
        </w:rPr>
        <w:t xml:space="preserve"> written </w:t>
      </w:r>
      <w:r w:rsidR="00F24ADF">
        <w:rPr>
          <w:rFonts w:ascii="Arial" w:hAnsi="Arial" w:cs="Arial"/>
          <w:strike w:val="0"/>
          <w:color w:val="000000"/>
          <w:sz w:val="22"/>
          <w:szCs w:val="22"/>
        </w:rPr>
        <w:t>15-day comments</w:t>
      </w:r>
      <w:r w:rsidRPr="00043F59">
        <w:rPr>
          <w:rFonts w:ascii="Arial" w:hAnsi="Arial" w:cs="Arial"/>
          <w:strike w:val="0"/>
          <w:color w:val="000000"/>
          <w:sz w:val="22"/>
          <w:szCs w:val="22"/>
        </w:rPr>
        <w:t xml:space="preserve"> </w:t>
      </w:r>
      <w:r w:rsidR="00A25589" w:rsidRPr="00043F59">
        <w:rPr>
          <w:rFonts w:ascii="Arial" w:hAnsi="Arial" w:cs="Arial"/>
          <w:strike w:val="0"/>
          <w:color w:val="000000"/>
          <w:sz w:val="22"/>
          <w:szCs w:val="22"/>
        </w:rPr>
        <w:t>on</w:t>
      </w:r>
      <w:r w:rsidRPr="00043F59">
        <w:rPr>
          <w:rFonts w:ascii="Arial" w:hAnsi="Arial" w:cs="Arial"/>
          <w:strike w:val="0"/>
          <w:color w:val="000000"/>
          <w:sz w:val="22"/>
          <w:szCs w:val="22"/>
        </w:rPr>
        <w:t xml:space="preserve"> </w:t>
      </w:r>
      <w:r w:rsidR="00F24ADF">
        <w:rPr>
          <w:rFonts w:ascii="Arial" w:hAnsi="Arial" w:cs="Arial"/>
          <w:strike w:val="0"/>
          <w:color w:val="000000"/>
          <w:sz w:val="22"/>
          <w:szCs w:val="22"/>
        </w:rPr>
        <w:t>modifications to</w:t>
      </w:r>
      <w:r w:rsidR="00A25589" w:rsidRPr="00043F59">
        <w:rPr>
          <w:rFonts w:ascii="Arial" w:hAnsi="Arial" w:cs="Arial"/>
          <w:strike w:val="0"/>
          <w:color w:val="000000"/>
          <w:sz w:val="22"/>
          <w:szCs w:val="22"/>
        </w:rPr>
        <w:t xml:space="preserve"> </w:t>
      </w:r>
      <w:r w:rsidR="00F24ADF">
        <w:rPr>
          <w:rFonts w:ascii="Arial" w:hAnsi="Arial" w:cs="Arial"/>
          <w:strike w:val="0"/>
          <w:color w:val="000000"/>
          <w:sz w:val="22"/>
          <w:szCs w:val="22"/>
        </w:rPr>
        <w:t xml:space="preserve">proposed </w:t>
      </w:r>
      <w:r w:rsidR="00A25589" w:rsidRPr="00043F59">
        <w:rPr>
          <w:rFonts w:ascii="Arial" w:hAnsi="Arial" w:cs="Arial"/>
          <w:strike w:val="0"/>
          <w:color w:val="000000"/>
          <w:sz w:val="22"/>
          <w:szCs w:val="22"/>
        </w:rPr>
        <w:t>revis</w:t>
      </w:r>
      <w:r w:rsidR="00F24ADF">
        <w:rPr>
          <w:rFonts w:ascii="Arial" w:hAnsi="Arial" w:cs="Arial"/>
          <w:strike w:val="0"/>
          <w:color w:val="000000"/>
          <w:sz w:val="22"/>
          <w:szCs w:val="22"/>
        </w:rPr>
        <w:t>ions</w:t>
      </w:r>
      <w:r w:rsidR="00A25589" w:rsidRPr="00043F59">
        <w:rPr>
          <w:rFonts w:ascii="Arial" w:hAnsi="Arial" w:cs="Arial"/>
          <w:strike w:val="0"/>
          <w:color w:val="000000"/>
          <w:sz w:val="22"/>
          <w:szCs w:val="22"/>
        </w:rPr>
        <w:t xml:space="preserve"> to the Medical Provider Network (MPN)</w:t>
      </w:r>
      <w:r w:rsidR="00FC4B7D" w:rsidRPr="00043F59">
        <w:rPr>
          <w:rFonts w:ascii="Arial" w:hAnsi="Arial" w:cs="Arial"/>
          <w:strike w:val="0"/>
          <w:color w:val="000000"/>
          <w:sz w:val="22"/>
          <w:szCs w:val="22"/>
        </w:rPr>
        <w:t xml:space="preserve"> regulations </w:t>
      </w:r>
      <w:r w:rsidR="00CA1861">
        <w:rPr>
          <w:rFonts w:ascii="Arial" w:hAnsi="Arial" w:cs="Arial"/>
          <w:strike w:val="0"/>
          <w:color w:val="000000"/>
          <w:sz w:val="22"/>
          <w:szCs w:val="22"/>
        </w:rPr>
        <w:t>are</w:t>
      </w:r>
      <w:r w:rsidR="00FC4B7D" w:rsidRPr="00043F59">
        <w:rPr>
          <w:rFonts w:ascii="Arial" w:hAnsi="Arial" w:cs="Arial"/>
          <w:strike w:val="0"/>
          <w:color w:val="000000"/>
          <w:sz w:val="22"/>
          <w:szCs w:val="22"/>
        </w:rPr>
        <w:t xml:space="preserve"> </w:t>
      </w:r>
      <w:r w:rsidRPr="00043F59">
        <w:rPr>
          <w:rFonts w:ascii="Arial" w:hAnsi="Arial" w:cs="Arial"/>
          <w:strike w:val="0"/>
          <w:color w:val="000000"/>
          <w:sz w:val="22"/>
          <w:szCs w:val="22"/>
        </w:rPr>
        <w:t xml:space="preserve">presented on behalf of the California Workers' Compensation Institute </w:t>
      </w:r>
      <w:r w:rsidR="00804E67">
        <w:rPr>
          <w:rFonts w:ascii="Arial" w:hAnsi="Arial" w:cs="Arial"/>
          <w:strike w:val="0"/>
          <w:color w:val="000000"/>
          <w:sz w:val="22"/>
          <w:szCs w:val="22"/>
        </w:rPr>
        <w:t xml:space="preserve">(CWCI) </w:t>
      </w:r>
      <w:r w:rsidRPr="00043F59">
        <w:rPr>
          <w:rFonts w:ascii="Arial" w:hAnsi="Arial" w:cs="Arial"/>
          <w:strike w:val="0"/>
          <w:color w:val="000000"/>
          <w:sz w:val="22"/>
          <w:szCs w:val="22"/>
        </w:rPr>
        <w:t>members.</w:t>
      </w:r>
      <w:r w:rsidR="00621812" w:rsidRPr="00043F59">
        <w:rPr>
          <w:rFonts w:ascii="Arial" w:hAnsi="Arial" w:cs="Arial"/>
          <w:strike w:val="0"/>
          <w:color w:val="000000"/>
          <w:sz w:val="22"/>
          <w:szCs w:val="22"/>
        </w:rPr>
        <w:t xml:space="preserve"> </w:t>
      </w:r>
      <w:r w:rsidR="00531384">
        <w:rPr>
          <w:rFonts w:ascii="Arial" w:hAnsi="Arial" w:cs="Arial"/>
          <w:strike w:val="0"/>
          <w:color w:val="000000"/>
          <w:sz w:val="22"/>
          <w:szCs w:val="22"/>
        </w:rPr>
        <w:t xml:space="preserve"> </w:t>
      </w:r>
      <w:r w:rsidR="00043F59" w:rsidRPr="00043F59">
        <w:rPr>
          <w:rFonts w:ascii="Arial" w:hAnsi="Arial" w:cs="Arial"/>
          <w:strike w:val="0"/>
          <w:color w:val="000000"/>
          <w:sz w:val="22"/>
          <w:szCs w:val="22"/>
        </w:rPr>
        <w:t xml:space="preserve">Institute members include insurers writing 70% of California’s workers’ compensation premium, and self-insured employers with $42B of annual payroll (24% of the state’s total annual self-insured payroll).  </w:t>
      </w:r>
    </w:p>
    <w:p w:rsidR="00043F59" w:rsidRPr="00043F59" w:rsidRDefault="00043F59" w:rsidP="00043F59">
      <w:pPr>
        <w:keepLines/>
        <w:tabs>
          <w:tab w:val="left" w:pos="900"/>
        </w:tabs>
        <w:autoSpaceDE/>
        <w:autoSpaceDN/>
        <w:rPr>
          <w:rFonts w:ascii="Arial" w:hAnsi="Arial" w:cs="Arial"/>
          <w:strike w:val="0"/>
          <w:color w:val="000000"/>
          <w:sz w:val="22"/>
          <w:szCs w:val="22"/>
        </w:rPr>
      </w:pPr>
    </w:p>
    <w:p w:rsidR="00043F59" w:rsidRPr="00043F59" w:rsidRDefault="00043F59" w:rsidP="00043F59">
      <w:pPr>
        <w:shd w:val="clear" w:color="auto" w:fill="FFFFFF"/>
        <w:autoSpaceDE/>
        <w:autoSpaceDN/>
        <w:rPr>
          <w:rFonts w:ascii="Arial" w:hAnsi="Arial" w:cs="Arial"/>
          <w:strike w:val="0"/>
          <w:color w:val="000000"/>
          <w:sz w:val="22"/>
          <w:szCs w:val="22"/>
        </w:rPr>
      </w:pPr>
      <w:r w:rsidRPr="00043F59">
        <w:rPr>
          <w:rFonts w:ascii="Arial" w:hAnsi="Arial" w:cs="Arial"/>
          <w:strike w:val="0"/>
          <w:color w:val="000000"/>
          <w:sz w:val="22"/>
          <w:szCs w:val="22"/>
        </w:rPr>
        <w:t>Insurer members of the Institute include ACE, AIG, Alaska National Insurance Company,  AmTrust North America, Chubb Group, CNA, CompWest Insurance Company, Crum &amp; Forster, Employers, Everest National Insurance Company, Farmers Insurance Group, Fireman's Fund Insurance Company, The Hartford, Insurance Company of the West,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043F59" w:rsidRPr="00043F59" w:rsidRDefault="00043F59" w:rsidP="00043F59">
      <w:pPr>
        <w:shd w:val="clear" w:color="auto" w:fill="FFFFFF"/>
        <w:autoSpaceDE/>
        <w:autoSpaceDN/>
        <w:rPr>
          <w:rFonts w:ascii="Arial" w:hAnsi="Arial" w:cs="Arial"/>
          <w:strike w:val="0"/>
          <w:color w:val="000000"/>
          <w:sz w:val="22"/>
          <w:szCs w:val="22"/>
        </w:rPr>
      </w:pPr>
    </w:p>
    <w:p w:rsidR="00043F59" w:rsidRPr="008261A9" w:rsidRDefault="00043F59" w:rsidP="00905931">
      <w:pPr>
        <w:keepLines/>
        <w:tabs>
          <w:tab w:val="left" w:pos="900"/>
        </w:tabs>
        <w:autoSpaceDE/>
        <w:autoSpaceDN/>
        <w:rPr>
          <w:rFonts w:ascii="Verdana" w:hAnsi="Verdana" w:cs="Arial"/>
          <w:strike w:val="0"/>
          <w:sz w:val="22"/>
          <w:szCs w:val="22"/>
        </w:rPr>
      </w:pPr>
      <w:r w:rsidRPr="00043F59">
        <w:rPr>
          <w:rFonts w:ascii="Arial" w:hAnsi="Arial" w:cs="Arial"/>
          <w:strike w:val="0"/>
          <w:color w:val="000000"/>
          <w:sz w:val="22"/>
          <w:szCs w:val="22"/>
        </w:rPr>
        <w:t xml:space="preserve">Self-insured employer members are Adventist Health, Agilent Technologies, </w:t>
      </w:r>
      <w:r w:rsidR="00440C24">
        <w:rPr>
          <w:rFonts w:ascii="Arial" w:hAnsi="Arial" w:cs="Arial"/>
          <w:strike w:val="0"/>
          <w:color w:val="000000"/>
          <w:sz w:val="22"/>
          <w:szCs w:val="22"/>
        </w:rPr>
        <w:t xml:space="preserve">Chevron Corporation, </w:t>
      </w:r>
      <w:r w:rsidRPr="00043F59">
        <w:rPr>
          <w:rFonts w:ascii="Arial" w:hAnsi="Arial" w:cs="Arial"/>
          <w:strike w:val="0"/>
          <w:color w:val="000000"/>
          <w:sz w:val="22"/>
          <w:szCs w:val="22"/>
        </w:rPr>
        <w:t xml:space="preserve">City and County of San Francisco, City of Santa Ana, City of Torrance, Contra Costa County Schools Insurance Group, Costco Wholesale, County of San Bernardino Risk Management, County of Santa Clara Risk Management, Dignity Health, Foster Farms, Grimmway Enterprises Inc., Kaiser Foundation Health Plan, Inc., Marriott International, Inc., Pacific Gas &amp; Electric Company, Safeway, Inc., Schools Insurance Authority, Sempra Energy, Shasta County Risk Management, Southern California Edison, Sutter Health, University of California, and The Walt Disney Company. </w:t>
      </w:r>
    </w:p>
    <w:p w:rsidR="008261A9" w:rsidRDefault="008261A9" w:rsidP="008261A9">
      <w:pPr>
        <w:jc w:val="both"/>
        <w:rPr>
          <w:rFonts w:ascii="Verdana" w:hAnsi="Verdana" w:cs="Arial"/>
          <w:strike w:val="0"/>
          <w:sz w:val="22"/>
          <w:szCs w:val="22"/>
        </w:rPr>
      </w:pPr>
    </w:p>
    <w:p w:rsidR="008F65E6" w:rsidRPr="008261A9" w:rsidRDefault="007A1641" w:rsidP="00905931">
      <w:pPr>
        <w:autoSpaceDE/>
        <w:autoSpaceDN/>
        <w:rPr>
          <w:rFonts w:ascii="Verdana" w:hAnsi="Verdana" w:cs="Arial"/>
          <w:strike w:val="0"/>
          <w:sz w:val="22"/>
          <w:szCs w:val="22"/>
        </w:rPr>
      </w:pPr>
      <w:r>
        <w:rPr>
          <w:rFonts w:ascii="Verdana" w:hAnsi="Verdana" w:cs="Arial"/>
          <w:strike w:val="0"/>
          <w:sz w:val="22"/>
          <w:szCs w:val="22"/>
        </w:rPr>
        <w:br w:type="page"/>
      </w:r>
    </w:p>
    <w:p w:rsidR="0098292B" w:rsidRPr="0098292B" w:rsidRDefault="0098292B" w:rsidP="0098292B">
      <w:pPr>
        <w:autoSpaceDE/>
        <w:autoSpaceDN/>
        <w:jc w:val="center"/>
        <w:rPr>
          <w:rFonts w:ascii="Arial" w:eastAsiaTheme="minorHAnsi" w:hAnsi="Arial" w:cs="Arial"/>
          <w:b/>
          <w:strike w:val="0"/>
          <w:sz w:val="22"/>
          <w:szCs w:val="22"/>
        </w:rPr>
      </w:pPr>
      <w:r w:rsidRPr="0098292B">
        <w:rPr>
          <w:rFonts w:ascii="Arial" w:eastAsiaTheme="minorHAnsi" w:hAnsi="Arial" w:cs="Arial"/>
          <w:b/>
          <w:strike w:val="0"/>
          <w:sz w:val="22"/>
          <w:szCs w:val="22"/>
        </w:rPr>
        <w:lastRenderedPageBreak/>
        <w:t>Introduction</w:t>
      </w:r>
    </w:p>
    <w:p w:rsidR="0098292B" w:rsidRPr="0098292B" w:rsidRDefault="0098292B" w:rsidP="0098292B">
      <w:pPr>
        <w:autoSpaceDE/>
        <w:autoSpaceDN/>
        <w:jc w:val="center"/>
        <w:rPr>
          <w:rFonts w:ascii="Arial" w:eastAsiaTheme="minorHAnsi" w:hAnsi="Arial" w:cs="Arial"/>
          <w:b/>
          <w:strike w:val="0"/>
          <w:sz w:val="22"/>
          <w:szCs w:val="22"/>
        </w:rPr>
      </w:pPr>
    </w:p>
    <w:p w:rsidR="0098292B" w:rsidRPr="0098292B" w:rsidRDefault="0098292B" w:rsidP="0098292B">
      <w:pPr>
        <w:autoSpaceDE/>
        <w:autoSpaceDN/>
        <w:jc w:val="both"/>
        <w:rPr>
          <w:rFonts w:ascii="Arial" w:eastAsiaTheme="minorHAnsi" w:hAnsi="Arial" w:cs="Arial"/>
          <w:b/>
          <w:strike w:val="0"/>
          <w:sz w:val="22"/>
          <w:szCs w:val="22"/>
        </w:rPr>
      </w:pPr>
      <w:r w:rsidRPr="0098292B">
        <w:rPr>
          <w:rFonts w:ascii="Arial" w:eastAsiaTheme="minorHAnsi" w:hAnsi="Arial" w:cs="Arial"/>
          <w:b/>
          <w:strike w:val="0"/>
          <w:sz w:val="22"/>
          <w:szCs w:val="22"/>
        </w:rPr>
        <w:t xml:space="preserve">Medical Provider Network </w:t>
      </w: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In 2004, the Legislature changed the definition of medical treatment, chose evidence based medicine as the standard of care in California, and created Medical Provider Networks to provide injured workers with the highest quality medical care.  To incent employers to invest in and create special medical networks for their injured workers, the Legislature allowed employers to control medical care through the use of MPNs for the life of the claim.  The state, by statute and regulation, would administer and oversee the networks to ensure consistent access and quality of care. This was a monumental shift in policy for the California workers' compensation system.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The reforms enacted in 2012 by SB 863 were intended to make the application process more efficient and effective, provide specific personnel within networks to assist the injured worker with securing appointments, require network physicians to acknowledge participation, strengthen an employer’s ability to enforce treatment within an MPN, require the MPNs to review the quality of care continuously, and enforce MPN standards with administrative penalties.</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CWCI research has shown that by 2011</w:t>
      </w:r>
      <w:r w:rsidR="00374523">
        <w:rPr>
          <w:rFonts w:ascii="Arial" w:eastAsiaTheme="minorHAnsi" w:hAnsi="Arial" w:cs="Arial"/>
          <w:strike w:val="0"/>
          <w:sz w:val="22"/>
          <w:szCs w:val="22"/>
        </w:rPr>
        <w:t>,</w:t>
      </w:r>
      <w:r w:rsidRPr="0098292B">
        <w:rPr>
          <w:rFonts w:ascii="Arial" w:eastAsiaTheme="minorHAnsi" w:hAnsi="Arial" w:cs="Arial"/>
          <w:strike w:val="0"/>
          <w:sz w:val="22"/>
          <w:szCs w:val="22"/>
        </w:rPr>
        <w:t xml:space="preserve"> 81% of the injured workers in the system were treated by a MPN providers and that treatment by an MPN provider is one of the top ten factors in controlling the cost of medical care.</w:t>
      </w:r>
    </w:p>
    <w:p w:rsidR="0098292B" w:rsidRPr="0098292B" w:rsidRDefault="0098292B" w:rsidP="0098292B">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b/>
          <w:strike w:val="0"/>
          <w:sz w:val="22"/>
          <w:szCs w:val="22"/>
        </w:rPr>
        <w:t xml:space="preserve">Access Standards </w:t>
      </w: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 xml:space="preserve">In order for Medical Provider Networks to adequately serve injured workers, it is essential that medical care for the most common industrial injuries be readily available and efficiently deployed in accordance with the patient’s needs.  Standards that are unrealistically narrow and inflexible will only impair the network’s ability to serve its patients.  It has become abundantly clear since the advent of medical networks that one size does not fit all.  The Institute continues to urge the AD to base the MPN time/distance access standards on those established for provider networks used by disability insurers because they are more flexible and more realistically address the needs of patients.  </w:t>
      </w:r>
    </w:p>
    <w:p w:rsidR="00C65B81" w:rsidRPr="00C65B81" w:rsidRDefault="00C65B81" w:rsidP="00C65B81">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The Institute has previously recommended that MPNs include physicians primarily engaged in the treatment of occupational injuries and physicians of each type described in Labor Code section 3209.3, as required by the statute, to treat common injuries experienced by injured employees and that the MPN meet the access standards for common injuries, also required by statute.</w:t>
      </w:r>
    </w:p>
    <w:p w:rsidR="00C65B81" w:rsidRPr="00C65B81" w:rsidRDefault="00C65B81" w:rsidP="00C65B81">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The Institute recommended that the MPN regulations be based on the definitions and access standards established by the Insurance Commissioner for group disability insurance policies.  Labor Code section 4616.7(c) establishes a group disability insurance policy as an approved MPN and the standards set forth for group disability are reasonable and relate more directly to the statutory standards for MPNs.</w:t>
      </w:r>
    </w:p>
    <w:p w:rsidR="00C65B81" w:rsidRPr="00C65B81" w:rsidRDefault="00C65B81" w:rsidP="00C65B81">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For example, CCR, Title 10, section 2240.1(c) addresses time/distance provider network access standards that the Insurance Commissioner requires for disability policies and agreements.  Those standards require:</w:t>
      </w:r>
    </w:p>
    <w:p w:rsidR="00C65B81" w:rsidRPr="00C65B81" w:rsidRDefault="00C65B81" w:rsidP="00C65B81">
      <w:pPr>
        <w:numPr>
          <w:ilvl w:val="0"/>
          <w:numId w:val="41"/>
        </w:numPr>
        <w:autoSpaceDE/>
        <w:autoSpaceDN/>
        <w:contextualSpacing/>
        <w:rPr>
          <w:rFonts w:ascii="Arial" w:eastAsiaTheme="minorHAnsi" w:hAnsi="Arial" w:cs="Arial"/>
          <w:strike w:val="0"/>
          <w:sz w:val="22"/>
          <w:szCs w:val="22"/>
        </w:rPr>
      </w:pPr>
      <w:r w:rsidRPr="00C65B81">
        <w:rPr>
          <w:rFonts w:ascii="Arial" w:eastAsiaTheme="minorHAnsi" w:hAnsi="Arial" w:cs="Arial"/>
          <w:strike w:val="0"/>
          <w:sz w:val="22"/>
          <w:szCs w:val="22"/>
        </w:rPr>
        <w:t xml:space="preserve">primary care network providers with sufficient capacity to accept covered persons within 30 minutes or 15 miles of each covered person’s residence or workplace,” and </w:t>
      </w:r>
    </w:p>
    <w:p w:rsidR="00C65B81" w:rsidRPr="00C65B81" w:rsidRDefault="00C65B81" w:rsidP="00C65B81">
      <w:pPr>
        <w:numPr>
          <w:ilvl w:val="0"/>
          <w:numId w:val="41"/>
        </w:numPr>
        <w:autoSpaceDE/>
        <w:autoSpaceDN/>
        <w:contextualSpacing/>
        <w:rPr>
          <w:rFonts w:ascii="Arial" w:eastAsiaTheme="minorHAnsi" w:hAnsi="Arial" w:cs="Arial"/>
          <w:strike w:val="0"/>
          <w:sz w:val="22"/>
          <w:szCs w:val="22"/>
        </w:rPr>
      </w:pPr>
      <w:proofErr w:type="gramStart"/>
      <w:r w:rsidRPr="00C65B81">
        <w:rPr>
          <w:rFonts w:ascii="Arial" w:eastAsiaTheme="minorHAnsi" w:hAnsi="Arial" w:cs="Arial"/>
          <w:strike w:val="0"/>
          <w:sz w:val="22"/>
          <w:szCs w:val="22"/>
        </w:rPr>
        <w:t>medically</w:t>
      </w:r>
      <w:proofErr w:type="gramEnd"/>
      <w:r w:rsidRPr="00C65B81">
        <w:rPr>
          <w:rFonts w:ascii="Arial" w:eastAsiaTheme="minorHAnsi" w:hAnsi="Arial" w:cs="Arial"/>
          <w:strike w:val="0"/>
          <w:sz w:val="22"/>
          <w:szCs w:val="22"/>
        </w:rPr>
        <w:t xml:space="preserve"> required network specialists who are certified or eligible for certification by the appropriate specialty board with sufficient capacity to accept covered persons within 60 minutes or 30 miles of a covered person’s residence or workplace.  </w:t>
      </w:r>
    </w:p>
    <w:p w:rsidR="00C65B81" w:rsidRPr="00C65B81" w:rsidRDefault="00C65B81" w:rsidP="00C65B81">
      <w:pPr>
        <w:autoSpaceDE/>
        <w:autoSpaceDN/>
        <w:ind w:left="785"/>
        <w:contextualSpacing/>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 xml:space="preserve">Primary care physician is defined in CCR, Title 10, </w:t>
      </w:r>
      <w:proofErr w:type="gramStart"/>
      <w:r w:rsidRPr="00C65B81">
        <w:rPr>
          <w:rFonts w:ascii="Arial" w:eastAsiaTheme="minorHAnsi" w:hAnsi="Arial" w:cs="Arial"/>
          <w:strike w:val="0"/>
          <w:sz w:val="22"/>
          <w:szCs w:val="22"/>
        </w:rPr>
        <w:t>section</w:t>
      </w:r>
      <w:proofErr w:type="gramEnd"/>
      <w:r w:rsidRPr="00C65B81">
        <w:rPr>
          <w:rFonts w:ascii="Arial" w:eastAsiaTheme="minorHAnsi" w:hAnsi="Arial" w:cs="Arial"/>
          <w:strike w:val="0"/>
          <w:sz w:val="22"/>
          <w:szCs w:val="22"/>
        </w:rPr>
        <w:t xml:space="preserve"> 2240(k) as:</w:t>
      </w:r>
    </w:p>
    <w:p w:rsidR="00C65B81" w:rsidRPr="00C65B81" w:rsidRDefault="00C65B81" w:rsidP="00C65B81">
      <w:pPr>
        <w:numPr>
          <w:ilvl w:val="0"/>
          <w:numId w:val="42"/>
        </w:numPr>
        <w:autoSpaceDE/>
        <w:autoSpaceDN/>
        <w:contextualSpacing/>
        <w:rPr>
          <w:rFonts w:ascii="Arial" w:eastAsiaTheme="minorHAnsi" w:hAnsi="Arial" w:cs="Arial"/>
          <w:strike w:val="0"/>
          <w:sz w:val="22"/>
          <w:szCs w:val="22"/>
        </w:rPr>
      </w:pPr>
      <w:r w:rsidRPr="00C65B81">
        <w:rPr>
          <w:rFonts w:ascii="Arial" w:eastAsiaTheme="minorHAnsi" w:hAnsi="Arial" w:cs="Arial"/>
          <w:strike w:val="0"/>
          <w:sz w:val="22"/>
          <w:szCs w:val="22"/>
        </w:rPr>
        <w:t>A physician who is responsible for providing initial and primary care to patients, for maintaining the continuity of patient care or for initiating referral for specialist care. A primary care physician may be either a physician who has limited his practice of medicine to general practice or who is a board-certified or board-eligible internist, pediatrician, obstetrician-gynecologist or family practitioner.</w:t>
      </w:r>
    </w:p>
    <w:p w:rsidR="00C65B81" w:rsidRPr="00C65B81" w:rsidRDefault="00C65B81" w:rsidP="00C65B81">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By specifically including disability insurance groups in section 4616.7(c), the Legislature also approved the access standards set by the Insurance Commissioner.  There is no statutory requirement for an MPN to include three physician</w:t>
      </w:r>
      <w:r w:rsidR="00C71F15">
        <w:rPr>
          <w:rFonts w:ascii="Arial" w:eastAsiaTheme="minorHAnsi" w:hAnsi="Arial" w:cs="Arial"/>
          <w:strike w:val="0"/>
          <w:sz w:val="22"/>
          <w:szCs w:val="22"/>
        </w:rPr>
        <w:t xml:space="preserve"> </w:t>
      </w:r>
      <w:r w:rsidRPr="00C65B81">
        <w:rPr>
          <w:rFonts w:ascii="Arial" w:eastAsiaTheme="minorHAnsi" w:hAnsi="Arial" w:cs="Arial"/>
          <w:strike w:val="0"/>
          <w:sz w:val="22"/>
          <w:szCs w:val="22"/>
        </w:rPr>
        <w:t>s</w:t>
      </w:r>
      <w:r w:rsidR="00C71F15">
        <w:rPr>
          <w:rFonts w:ascii="Arial" w:eastAsiaTheme="minorHAnsi" w:hAnsi="Arial" w:cs="Arial"/>
          <w:strike w:val="0"/>
          <w:sz w:val="22"/>
          <w:szCs w:val="22"/>
        </w:rPr>
        <w:t>pecialists</w:t>
      </w:r>
      <w:r w:rsidRPr="00C65B81">
        <w:rPr>
          <w:rFonts w:ascii="Arial" w:eastAsiaTheme="minorHAnsi" w:hAnsi="Arial" w:cs="Arial"/>
          <w:strike w:val="0"/>
          <w:sz w:val="22"/>
          <w:szCs w:val="22"/>
        </w:rPr>
        <w:t xml:space="preserve"> within the time/distance access standards and there is no need for workers’ compensation provider networks access standards to exceed or differ from those required for disability insurers.  The Institute continues to urge the AD to base the MPN time/distance access standards on those established for provider networks used by disability insurers.  </w:t>
      </w:r>
    </w:p>
    <w:p w:rsidR="00C65B81" w:rsidRPr="00C65B81" w:rsidRDefault="00C65B81" w:rsidP="00C65B81">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b/>
          <w:strike w:val="0"/>
          <w:sz w:val="22"/>
          <w:szCs w:val="22"/>
        </w:rPr>
      </w:pPr>
      <w:r w:rsidRPr="00C65B81">
        <w:rPr>
          <w:rFonts w:ascii="Arial" w:eastAsiaTheme="minorHAnsi" w:hAnsi="Arial" w:cs="Arial"/>
          <w:b/>
          <w:strike w:val="0"/>
          <w:sz w:val="22"/>
          <w:szCs w:val="22"/>
        </w:rPr>
        <w:t xml:space="preserve">Physicians Necessary to Treat Common Industrial Injuries </w:t>
      </w: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 xml:space="preserve">Labor Code section 4616(a) requires an adequate number and type of physician to treat common injuries.  The most common California workers’ compensation injuries in 2010, 2011 and 2012 identified in CWCI’s ICIS database are listed in Table A in frequency order. </w:t>
      </w:r>
    </w:p>
    <w:p w:rsidR="00C65B81" w:rsidRPr="00C65B81" w:rsidRDefault="00C65B81" w:rsidP="00C65B81">
      <w:pPr>
        <w:overflowPunct w:val="0"/>
        <w:autoSpaceDE/>
        <w:autoSpaceDN/>
        <w:adjustRightInd w:val="0"/>
        <w:ind w:left="720"/>
        <w:textAlignment w:val="baseline"/>
        <w:rPr>
          <w:rFonts w:ascii="Arial" w:eastAsiaTheme="minorHAnsi" w:hAnsi="Arial" w:cs="Arial"/>
          <w:i/>
          <w:sz w:val="12"/>
          <w:szCs w:val="22"/>
        </w:rPr>
      </w:pPr>
    </w:p>
    <w:p w:rsidR="00C65B81" w:rsidRPr="00C65B81" w:rsidRDefault="00C65B81" w:rsidP="00C65B81">
      <w:pPr>
        <w:overflowPunct w:val="0"/>
        <w:autoSpaceDE/>
        <w:autoSpaceDN/>
        <w:adjustRightInd w:val="0"/>
        <w:ind w:left="720"/>
        <w:textAlignment w:val="baseline"/>
        <w:rPr>
          <w:rFonts w:ascii="Arial" w:eastAsiaTheme="minorHAnsi" w:hAnsi="Arial" w:cs="Arial"/>
          <w:b/>
          <w:sz w:val="22"/>
          <w:szCs w:val="22"/>
        </w:rPr>
      </w:pPr>
      <w:r w:rsidRPr="00C65B81">
        <w:rPr>
          <w:rFonts w:ascii="Arial" w:eastAsiaTheme="minorHAnsi" w:hAnsi="Arial" w:cs="Arial"/>
          <w:b/>
          <w:strike w:val="0"/>
          <w:sz w:val="22"/>
          <w:szCs w:val="22"/>
        </w:rPr>
        <w:t>Table A – Common California Workers’ Compensation Injuries by Frequency</w:t>
      </w:r>
    </w:p>
    <w:tbl>
      <w:tblPr>
        <w:tblStyle w:val="TableGrid1"/>
        <w:tblW w:w="0" w:type="auto"/>
        <w:tblInd w:w="468" w:type="dxa"/>
        <w:tblLook w:val="04A0" w:firstRow="1" w:lastRow="0" w:firstColumn="1" w:lastColumn="0" w:noHBand="0" w:noVBand="1"/>
      </w:tblPr>
      <w:tblGrid>
        <w:gridCol w:w="5330"/>
        <w:gridCol w:w="836"/>
        <w:gridCol w:w="836"/>
        <w:gridCol w:w="836"/>
        <w:gridCol w:w="1270"/>
      </w:tblGrid>
      <w:tr w:rsidR="00C65B81" w:rsidRPr="00C65B81" w:rsidTr="00E36129">
        <w:tc>
          <w:tcPr>
            <w:tcW w:w="533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Common WC injuries</w:t>
            </w:r>
          </w:p>
        </w:tc>
        <w:tc>
          <w:tcPr>
            <w:tcW w:w="836" w:type="dxa"/>
          </w:tcPr>
          <w:p w:rsidR="00C65B81" w:rsidRPr="00C65B81" w:rsidRDefault="00C65B81" w:rsidP="00C65B81">
            <w:pPr>
              <w:overflowPunct w:val="0"/>
              <w:autoSpaceDE/>
              <w:autoSpaceDN/>
              <w:adjustRightInd w:val="0"/>
              <w:textAlignment w:val="baseline"/>
              <w:rPr>
                <w:b/>
                <w:sz w:val="20"/>
                <w:szCs w:val="20"/>
              </w:rPr>
            </w:pPr>
            <w:r w:rsidRPr="00C65B81">
              <w:rPr>
                <w:b/>
                <w:strike w:val="0"/>
                <w:sz w:val="20"/>
                <w:szCs w:val="20"/>
              </w:rPr>
              <w:t>2010</w:t>
            </w:r>
          </w:p>
        </w:tc>
        <w:tc>
          <w:tcPr>
            <w:tcW w:w="836" w:type="dxa"/>
          </w:tcPr>
          <w:p w:rsidR="00C65B81" w:rsidRPr="00C65B81" w:rsidRDefault="00C65B81" w:rsidP="00C65B81">
            <w:pPr>
              <w:overflowPunct w:val="0"/>
              <w:autoSpaceDE/>
              <w:autoSpaceDN/>
              <w:adjustRightInd w:val="0"/>
              <w:textAlignment w:val="baseline"/>
              <w:rPr>
                <w:b/>
                <w:sz w:val="20"/>
                <w:szCs w:val="20"/>
              </w:rPr>
            </w:pPr>
            <w:r w:rsidRPr="00C65B81">
              <w:rPr>
                <w:b/>
                <w:strike w:val="0"/>
                <w:sz w:val="20"/>
                <w:szCs w:val="20"/>
              </w:rPr>
              <w:t>2011</w:t>
            </w:r>
          </w:p>
        </w:tc>
        <w:tc>
          <w:tcPr>
            <w:tcW w:w="836" w:type="dxa"/>
          </w:tcPr>
          <w:p w:rsidR="00C65B81" w:rsidRPr="00C65B81" w:rsidRDefault="00C65B81" w:rsidP="00C65B81">
            <w:pPr>
              <w:overflowPunct w:val="0"/>
              <w:autoSpaceDE/>
              <w:autoSpaceDN/>
              <w:adjustRightInd w:val="0"/>
              <w:textAlignment w:val="baseline"/>
              <w:rPr>
                <w:b/>
                <w:sz w:val="20"/>
                <w:szCs w:val="20"/>
              </w:rPr>
            </w:pPr>
            <w:r w:rsidRPr="00C65B81">
              <w:rPr>
                <w:b/>
                <w:strike w:val="0"/>
                <w:sz w:val="20"/>
                <w:szCs w:val="20"/>
              </w:rPr>
              <w:t>2012</w:t>
            </w:r>
          </w:p>
        </w:tc>
        <w:tc>
          <w:tcPr>
            <w:tcW w:w="1270" w:type="dxa"/>
          </w:tcPr>
          <w:p w:rsidR="00C65B81" w:rsidRPr="00C65B81" w:rsidRDefault="00C65B81" w:rsidP="00C65B81">
            <w:pPr>
              <w:overflowPunct w:val="0"/>
              <w:autoSpaceDE/>
              <w:autoSpaceDN/>
              <w:adjustRightInd w:val="0"/>
              <w:textAlignment w:val="baseline"/>
              <w:rPr>
                <w:b/>
                <w:sz w:val="20"/>
                <w:szCs w:val="20"/>
              </w:rPr>
            </w:pPr>
            <w:r w:rsidRPr="00C65B81">
              <w:rPr>
                <w:b/>
                <w:strike w:val="0"/>
                <w:sz w:val="20"/>
                <w:szCs w:val="20"/>
              </w:rPr>
              <w:t>2010-2012</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Minor wounds &amp; injuries</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21.1%</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21.7%</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21.6%</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21.4%</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Medical back problems w/o spinal cord involvement</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19.0%</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18.6%</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18.5%</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18.7%</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Sprain of shoulder, arm, knee, lower leg</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14.4%</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14.7%</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15.7%</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14.9%</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Ruptured tendon, tendonitis, myositis, bursitis</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6.0%</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6.0%</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5.7%</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5.9%</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Joint pain</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4.5%</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4.7%</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4.6%</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4.6%</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Wound or fracture of shoulder, arm, knee, lower leg</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3.1%</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3.2%</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3.2%</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3.2%</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External eye disorders</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2.9%</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2.9%</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2.8%</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2.8%</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Trauma of fingers, toes</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2.4%</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2.3%</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2.5%</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2.4%</w:t>
            </w:r>
          </w:p>
        </w:tc>
      </w:tr>
      <w:tr w:rsidR="00C65B81" w:rsidRPr="00C65B81" w:rsidTr="00E36129">
        <w:tc>
          <w:tcPr>
            <w:tcW w:w="5330" w:type="dxa"/>
          </w:tcPr>
          <w:p w:rsidR="00C65B81" w:rsidRPr="00C65B81" w:rsidRDefault="00C65B81" w:rsidP="00C65B81">
            <w:pPr>
              <w:overflowPunct w:val="0"/>
              <w:autoSpaceDE/>
              <w:autoSpaceDN/>
              <w:adjustRightInd w:val="0"/>
              <w:textAlignment w:val="baseline"/>
              <w:rPr>
                <w:sz w:val="20"/>
                <w:szCs w:val="20"/>
              </w:rPr>
            </w:pPr>
            <w:r w:rsidRPr="00C65B81">
              <w:rPr>
                <w:strike w:val="0"/>
                <w:sz w:val="20"/>
                <w:szCs w:val="20"/>
              </w:rPr>
              <w:t>Total</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73.4%</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74.1%</w:t>
            </w:r>
          </w:p>
        </w:tc>
        <w:tc>
          <w:tcPr>
            <w:tcW w:w="836" w:type="dxa"/>
          </w:tcPr>
          <w:p w:rsidR="00C65B81" w:rsidRPr="00C65B81" w:rsidRDefault="00C65B81" w:rsidP="00C65B81">
            <w:pPr>
              <w:overflowPunct w:val="0"/>
              <w:autoSpaceDE/>
              <w:autoSpaceDN/>
              <w:adjustRightInd w:val="0"/>
              <w:jc w:val="center"/>
              <w:textAlignment w:val="baseline"/>
              <w:rPr>
                <w:sz w:val="20"/>
                <w:szCs w:val="20"/>
              </w:rPr>
            </w:pPr>
            <w:r w:rsidRPr="00C65B81">
              <w:rPr>
                <w:strike w:val="0"/>
                <w:sz w:val="20"/>
                <w:szCs w:val="20"/>
              </w:rPr>
              <w:t>74.6%</w:t>
            </w:r>
          </w:p>
        </w:tc>
        <w:tc>
          <w:tcPr>
            <w:tcW w:w="1270" w:type="dxa"/>
          </w:tcPr>
          <w:p w:rsidR="00C65B81" w:rsidRPr="00C65B81" w:rsidRDefault="00C65B81" w:rsidP="00C65B81">
            <w:pPr>
              <w:overflowPunct w:val="0"/>
              <w:autoSpaceDE/>
              <w:autoSpaceDN/>
              <w:adjustRightInd w:val="0"/>
              <w:jc w:val="center"/>
              <w:textAlignment w:val="baseline"/>
              <w:rPr>
                <w:b/>
                <w:sz w:val="20"/>
                <w:szCs w:val="20"/>
              </w:rPr>
            </w:pPr>
            <w:r w:rsidRPr="00C65B81">
              <w:rPr>
                <w:b/>
                <w:strike w:val="0"/>
                <w:sz w:val="20"/>
                <w:szCs w:val="20"/>
              </w:rPr>
              <w:t>73.9%</w:t>
            </w:r>
          </w:p>
        </w:tc>
      </w:tr>
    </w:tbl>
    <w:p w:rsidR="00C65B81" w:rsidRPr="00C65B81" w:rsidRDefault="00C65B81" w:rsidP="00C65B81">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 xml:space="preserve">The list of common injures in Table A is relevant for most MPNs including those used by insurers that provide statewide homogenous coverage.  </w:t>
      </w:r>
    </w:p>
    <w:p w:rsidR="00C65B81" w:rsidRPr="00C65B81" w:rsidRDefault="00C65B81" w:rsidP="00C65B81">
      <w:pPr>
        <w:autoSpaceDE/>
        <w:autoSpaceDN/>
        <w:rPr>
          <w:rFonts w:ascii="Arial" w:eastAsiaTheme="minorHAnsi" w:hAnsi="Arial" w:cs="Arial"/>
          <w:strike w:val="0"/>
          <w:sz w:val="22"/>
          <w:szCs w:val="22"/>
        </w:rPr>
      </w:pPr>
    </w:p>
    <w:p w:rsidR="00C65B81" w:rsidRPr="00C65B81" w:rsidRDefault="00C65B81" w:rsidP="00C65B81">
      <w:pPr>
        <w:autoSpaceDE/>
        <w:autoSpaceDN/>
        <w:rPr>
          <w:rFonts w:ascii="Arial" w:eastAsiaTheme="minorHAnsi" w:hAnsi="Arial" w:cs="Arial"/>
          <w:strike w:val="0"/>
          <w:sz w:val="22"/>
          <w:szCs w:val="22"/>
        </w:rPr>
      </w:pPr>
      <w:r w:rsidRPr="00C65B81">
        <w:rPr>
          <w:rFonts w:ascii="Arial" w:eastAsiaTheme="minorHAnsi" w:hAnsi="Arial" w:cs="Arial"/>
          <w:strike w:val="0"/>
          <w:sz w:val="22"/>
          <w:szCs w:val="22"/>
        </w:rPr>
        <w:t xml:space="preserve">The Institute’s prior comments and recommendations below are intended to establish the necessary flexibility to allow medical networks to provide injured workers with the best medical care as promptly as possible, within or outside the network.  The statutory provisions creating medical networks in the workers' compensation system are directed by the exigencies of the injured worker’s medical needs and the regulations must follow the directions of the Legislature.  </w:t>
      </w:r>
    </w:p>
    <w:p w:rsidR="00C65B81" w:rsidRPr="00C65B81" w:rsidRDefault="00C65B81" w:rsidP="0098292B">
      <w:pPr>
        <w:autoSpaceDE/>
        <w:autoSpaceDN/>
        <w:rPr>
          <w:rFonts w:ascii="Arial" w:eastAsiaTheme="minorHAnsi" w:hAnsi="Arial" w:cs="Arial"/>
          <w:b/>
          <w:strike w:val="0"/>
          <w:sz w:val="20"/>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b/>
          <w:strike w:val="0"/>
          <w:sz w:val="22"/>
          <w:szCs w:val="22"/>
        </w:rPr>
        <w:t xml:space="preserve">Regulatory Authority </w:t>
      </w: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The task imposed on state agencies by Government Code section 11342.2 is often very delicate.  The statute states:</w:t>
      </w:r>
    </w:p>
    <w:p w:rsidR="0098292B" w:rsidRPr="0098292B" w:rsidRDefault="00804E67" w:rsidP="0098292B">
      <w:pPr>
        <w:autoSpaceDE/>
        <w:autoSpaceDN/>
        <w:ind w:left="720"/>
        <w:rPr>
          <w:rFonts w:ascii="Arial" w:eastAsiaTheme="minorHAnsi" w:hAnsi="Arial" w:cs="Arial"/>
          <w:strike w:val="0"/>
          <w:sz w:val="22"/>
          <w:szCs w:val="22"/>
        </w:rPr>
      </w:pPr>
      <w:r>
        <w:rPr>
          <w:rFonts w:ascii="Arial" w:eastAsiaTheme="minorHAnsi" w:hAnsi="Arial" w:cs="Arial"/>
          <w:strike w:val="0"/>
          <w:sz w:val="22"/>
          <w:szCs w:val="22"/>
        </w:rPr>
        <w:t>“</w:t>
      </w:r>
      <w:r w:rsidR="0098292B" w:rsidRPr="0098292B">
        <w:rPr>
          <w:rFonts w:ascii="Arial" w:eastAsiaTheme="minorHAnsi" w:hAnsi="Arial" w:cs="Arial"/>
          <w:strike w:val="0"/>
          <w:sz w:val="22"/>
          <w:szCs w:val="22"/>
        </w:rPr>
        <w:t>Whenever by the express or implied terms of any statute a state agency has authority to adopt regulations to implement, interpret, make specific or otherwise carry out the provisions of the statute, no regulation adopted is valid or effective unless consistent and not in conflict with the statute and reasonably necessary to effectuate the purpose of the statute.</w:t>
      </w:r>
      <w:r>
        <w:rPr>
          <w:rFonts w:ascii="Arial" w:eastAsiaTheme="minorHAnsi" w:hAnsi="Arial" w:cs="Arial"/>
          <w:strike w:val="0"/>
          <w:sz w:val="22"/>
          <w:szCs w:val="22"/>
        </w:rPr>
        <w:t>”</w:t>
      </w:r>
    </w:p>
    <w:p w:rsidR="0098292B" w:rsidRDefault="0098292B" w:rsidP="0098292B">
      <w:pPr>
        <w:autoSpaceDE/>
        <w:autoSpaceDN/>
        <w:rPr>
          <w:rFonts w:ascii="Arial" w:eastAsiaTheme="minorHAnsi" w:hAnsi="Arial" w:cs="Arial"/>
          <w:strike w:val="0"/>
          <w:sz w:val="22"/>
          <w:szCs w:val="22"/>
        </w:rPr>
      </w:pPr>
    </w:p>
    <w:p w:rsidR="00440C24" w:rsidRDefault="00440C24" w:rsidP="0098292B">
      <w:pPr>
        <w:autoSpaceDE/>
        <w:autoSpaceDN/>
        <w:rPr>
          <w:rFonts w:ascii="Arial" w:eastAsiaTheme="minorHAnsi" w:hAnsi="Arial" w:cs="Arial"/>
          <w:strike w:val="0"/>
          <w:sz w:val="22"/>
          <w:szCs w:val="22"/>
        </w:rPr>
      </w:pPr>
    </w:p>
    <w:p w:rsidR="00440C24" w:rsidRPr="0098292B" w:rsidRDefault="00440C24"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lastRenderedPageBreak/>
        <w:t>The proposed network access standards and the penalty scheme contained in the proposed regulations restrict the scope of statute authorizing the creation and use of Medical Provider Networks.  The problem, simply stated, is that the threat of excessive access standards and penalties will curtail legitimate network operations that the statute permits.</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It is the responsibility of the </w:t>
      </w:r>
      <w:r w:rsidR="00804E67">
        <w:rPr>
          <w:rFonts w:ascii="Arial" w:eastAsiaTheme="minorHAnsi" w:hAnsi="Arial" w:cs="Arial"/>
          <w:strike w:val="0"/>
          <w:sz w:val="22"/>
          <w:szCs w:val="22"/>
        </w:rPr>
        <w:t>Administrative Director (</w:t>
      </w:r>
      <w:r w:rsidRPr="0098292B">
        <w:rPr>
          <w:rFonts w:ascii="Arial" w:eastAsiaTheme="minorHAnsi" w:hAnsi="Arial" w:cs="Arial"/>
          <w:strike w:val="0"/>
          <w:sz w:val="22"/>
          <w:szCs w:val="22"/>
        </w:rPr>
        <w:t>AD</w:t>
      </w:r>
      <w:r w:rsidR="00804E67">
        <w:rPr>
          <w:rFonts w:ascii="Arial" w:eastAsiaTheme="minorHAnsi" w:hAnsi="Arial" w:cs="Arial"/>
          <w:strike w:val="0"/>
          <w:sz w:val="22"/>
          <w:szCs w:val="22"/>
        </w:rPr>
        <w:t>)</w:t>
      </w:r>
      <w:r w:rsidRPr="0098292B">
        <w:rPr>
          <w:rFonts w:ascii="Arial" w:eastAsiaTheme="minorHAnsi" w:hAnsi="Arial" w:cs="Arial"/>
          <w:strike w:val="0"/>
          <w:sz w:val="22"/>
          <w:szCs w:val="22"/>
        </w:rPr>
        <w:t xml:space="preserve"> to interpret Labor Code section 4616 et seq. to make it specific and to enforce its dictates.  At the same time, the AD must permit section 4616 to function at all levels in order to attain its legislative goals.  Administrative regulations that alter or amend statute or enlarge or impair its scope are void, and courts not only may, but it is their obligation, to strike down such regulations.  The Supreme Court has ruled that if the meaning of statute is clear and the regulations are in conflict with the plain meaning, regulations are void.  </w:t>
      </w:r>
      <w:proofErr w:type="gramStart"/>
      <w:r w:rsidRPr="00CB7B28">
        <w:rPr>
          <w:rFonts w:ascii="Arial" w:eastAsiaTheme="minorHAnsi" w:hAnsi="Arial" w:cs="Arial"/>
          <w:strike w:val="0"/>
          <w:sz w:val="22"/>
          <w:szCs w:val="22"/>
          <w:u w:val="single"/>
        </w:rPr>
        <w:t>Morris v. Williams</w:t>
      </w:r>
      <w:r w:rsidRPr="0098292B">
        <w:rPr>
          <w:rFonts w:ascii="Arial" w:eastAsiaTheme="minorHAnsi" w:hAnsi="Arial" w:cs="Arial"/>
          <w:strike w:val="0"/>
          <w:sz w:val="22"/>
          <w:szCs w:val="22"/>
        </w:rPr>
        <w:t xml:space="preserve"> (1967) 63 CR 689, 67 C2d 733, 433 P.2d 697.</w:t>
      </w:r>
      <w:proofErr w:type="gramEnd"/>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An example of this conflict, is the requirement in </w:t>
      </w:r>
      <w:r w:rsidR="00CB7B28">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4616(a</w:t>
      </w:r>
      <w:proofErr w:type="gramStart"/>
      <w:r w:rsidRPr="0098292B">
        <w:rPr>
          <w:rFonts w:ascii="Arial" w:eastAsiaTheme="minorHAnsi" w:hAnsi="Arial" w:cs="Arial"/>
          <w:strike w:val="0"/>
          <w:sz w:val="22"/>
          <w:szCs w:val="22"/>
        </w:rPr>
        <w:t>)(</w:t>
      </w:r>
      <w:proofErr w:type="gramEnd"/>
      <w:r w:rsidRPr="0098292B">
        <w:rPr>
          <w:rFonts w:ascii="Arial" w:eastAsiaTheme="minorHAnsi" w:hAnsi="Arial" w:cs="Arial"/>
          <w:strike w:val="0"/>
          <w:sz w:val="22"/>
          <w:szCs w:val="22"/>
        </w:rPr>
        <w:t>1) that the physician access standards be based on “physician type</w:t>
      </w:r>
      <w:r w:rsidR="00804E67">
        <w:rPr>
          <w:rFonts w:ascii="Arial" w:eastAsiaTheme="minorHAnsi" w:hAnsi="Arial" w:cs="Arial"/>
          <w:strike w:val="0"/>
          <w:sz w:val="22"/>
          <w:szCs w:val="22"/>
        </w:rPr>
        <w:t>,</w:t>
      </w:r>
      <w:r w:rsidRPr="0098292B">
        <w:rPr>
          <w:rFonts w:ascii="Arial" w:eastAsiaTheme="minorHAnsi" w:hAnsi="Arial" w:cs="Arial"/>
          <w:strike w:val="0"/>
          <w:sz w:val="22"/>
          <w:szCs w:val="22"/>
        </w:rPr>
        <w:t xml:space="preserve">” not specialty.  The statute defines physician type with reference to </w:t>
      </w:r>
      <w:r w:rsidR="00CB7B28">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 xml:space="preserve">section 3209.3, physicians and surgeons holding an M.D. or D.O. degree, psychologists, acupuncturists, optometrists, dentists, podiatrists, and chiropractors, and the other providers described in </w:t>
      </w:r>
      <w:r w:rsidR="00CB7B28">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3209.5.  The statute cannot be clearer.  The judicial interpretation of the authority of the regulator is equally clear – the proposed regulation expands the scope of the statute and is invalid and unenforceable.</w:t>
      </w:r>
    </w:p>
    <w:p w:rsidR="0098292B" w:rsidRPr="0098292B" w:rsidRDefault="0098292B" w:rsidP="0098292B">
      <w:pPr>
        <w:autoSpaceDE/>
        <w:autoSpaceDN/>
        <w:rPr>
          <w:rFonts w:ascii="Arial" w:eastAsiaTheme="minorHAnsi" w:hAnsi="Arial" w:cs="Arial"/>
          <w:strike w:val="0"/>
          <w:sz w:val="22"/>
          <w:szCs w:val="22"/>
        </w:rPr>
      </w:pPr>
    </w:p>
    <w:p w:rsidR="0010654B" w:rsidRPr="0098292B" w:rsidRDefault="0010654B" w:rsidP="0010654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The art of crafting proper regulations requires that the state agency focus on the provisions of the statute.  </w:t>
      </w:r>
      <w:r w:rsidRPr="00671912">
        <w:rPr>
          <w:rFonts w:ascii="Arial" w:eastAsiaTheme="minorHAnsi" w:hAnsi="Arial" w:cs="Arial"/>
          <w:strike w:val="0"/>
          <w:sz w:val="22"/>
          <w:szCs w:val="22"/>
        </w:rPr>
        <w:t>As is true of all regulations,</w:t>
      </w:r>
      <w:r w:rsidRPr="0098292B">
        <w:rPr>
          <w:rFonts w:ascii="Arial" w:eastAsiaTheme="minorHAnsi" w:hAnsi="Arial" w:cs="Arial"/>
          <w:strike w:val="0"/>
          <w:sz w:val="22"/>
          <w:szCs w:val="22"/>
        </w:rPr>
        <w:t xml:space="preserve"> the </w:t>
      </w:r>
      <w:r>
        <w:rPr>
          <w:rFonts w:ascii="Arial" w:eastAsiaTheme="minorHAnsi" w:hAnsi="Arial" w:cs="Arial"/>
          <w:strike w:val="0"/>
          <w:sz w:val="22"/>
          <w:szCs w:val="22"/>
        </w:rPr>
        <w:t>Division of Workers’ Compensation (</w:t>
      </w:r>
      <w:r w:rsidRPr="0098292B">
        <w:rPr>
          <w:rFonts w:ascii="Arial" w:eastAsiaTheme="minorHAnsi" w:hAnsi="Arial" w:cs="Arial"/>
          <w:strike w:val="0"/>
          <w:sz w:val="22"/>
          <w:szCs w:val="22"/>
        </w:rPr>
        <w:t>DWC</w:t>
      </w:r>
      <w:r>
        <w:rPr>
          <w:rFonts w:ascii="Arial" w:eastAsiaTheme="minorHAnsi" w:hAnsi="Arial" w:cs="Arial"/>
          <w:strike w:val="0"/>
          <w:sz w:val="22"/>
          <w:szCs w:val="22"/>
        </w:rPr>
        <w:t>)</w:t>
      </w:r>
      <w:r w:rsidRPr="0098292B">
        <w:rPr>
          <w:rFonts w:ascii="Arial" w:eastAsiaTheme="minorHAnsi" w:hAnsi="Arial" w:cs="Arial"/>
          <w:strike w:val="0"/>
          <w:sz w:val="22"/>
          <w:szCs w:val="22"/>
        </w:rPr>
        <w:t xml:space="preserve"> must implement, interpret, and make specific the statutory provisions of </w:t>
      </w:r>
      <w:r>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4616.  The resulting regulations must be consistent with and not in conflict with the statute and reasonably necessary to effectuate the purpose of the statute.</w:t>
      </w:r>
    </w:p>
    <w:p w:rsidR="0010654B" w:rsidRPr="0098292B" w:rsidRDefault="0010654B" w:rsidP="0010654B">
      <w:pPr>
        <w:autoSpaceDE/>
        <w:autoSpaceDN/>
        <w:rPr>
          <w:rFonts w:ascii="Arial" w:eastAsiaTheme="minorHAnsi" w:hAnsi="Arial" w:cs="Arial"/>
          <w:strike w:val="0"/>
          <w:sz w:val="22"/>
          <w:szCs w:val="22"/>
        </w:rPr>
      </w:pPr>
    </w:p>
    <w:p w:rsidR="0010654B" w:rsidRPr="0010654B" w:rsidRDefault="0010654B" w:rsidP="0098292B">
      <w:pPr>
        <w:autoSpaceDE/>
        <w:autoSpaceDN/>
        <w:rPr>
          <w:rFonts w:ascii="Arial" w:eastAsiaTheme="minorHAnsi" w:hAnsi="Arial" w:cs="Arial"/>
          <w:b/>
          <w:strike w:val="0"/>
          <w:sz w:val="22"/>
          <w:szCs w:val="22"/>
        </w:rPr>
      </w:pPr>
      <w:r w:rsidRPr="0010654B">
        <w:rPr>
          <w:rFonts w:ascii="Arial" w:eastAsiaTheme="minorHAnsi" w:hAnsi="Arial" w:cs="Arial"/>
          <w:b/>
          <w:strike w:val="0"/>
          <w:sz w:val="22"/>
          <w:szCs w:val="22"/>
        </w:rPr>
        <w:t>Penalties</w:t>
      </w:r>
    </w:p>
    <w:p w:rsidR="00BC71BF" w:rsidRDefault="00BC71BF" w:rsidP="00BC71BF">
      <w:pPr>
        <w:autoSpaceDE/>
        <w:autoSpaceDN/>
        <w:rPr>
          <w:rFonts w:ascii="Arial" w:eastAsiaTheme="minorHAnsi" w:hAnsi="Arial" w:cs="Arial"/>
          <w:strike w:val="0"/>
          <w:sz w:val="22"/>
          <w:szCs w:val="22"/>
        </w:rPr>
      </w:pPr>
      <w:r>
        <w:rPr>
          <w:rFonts w:ascii="Arial" w:eastAsiaTheme="minorHAnsi" w:hAnsi="Arial" w:cs="Arial"/>
          <w:strike w:val="0"/>
          <w:sz w:val="22"/>
          <w:szCs w:val="22"/>
        </w:rPr>
        <w:t>The Institute supports the concept of</w:t>
      </w:r>
      <w:r w:rsidRPr="0098292B">
        <w:rPr>
          <w:rFonts w:ascii="Arial" w:eastAsiaTheme="minorHAnsi" w:hAnsi="Arial" w:cs="Arial"/>
          <w:strike w:val="0"/>
          <w:sz w:val="22"/>
          <w:szCs w:val="22"/>
        </w:rPr>
        <w:t xml:space="preserve"> a single application for a single MPN </w:t>
      </w:r>
      <w:r>
        <w:rPr>
          <w:rFonts w:ascii="Arial" w:eastAsiaTheme="minorHAnsi" w:hAnsi="Arial" w:cs="Arial"/>
          <w:strike w:val="0"/>
          <w:sz w:val="22"/>
          <w:szCs w:val="22"/>
        </w:rPr>
        <w:t>that may be accessed by multiple users, and regulations that include definitions and enforcement standards that will facilitate rather than discourage their use.  Regulations implementing this concept</w:t>
      </w:r>
      <w:r w:rsidRPr="0098292B">
        <w:rPr>
          <w:rFonts w:ascii="Arial" w:eastAsiaTheme="minorHAnsi" w:hAnsi="Arial" w:cs="Arial"/>
          <w:strike w:val="0"/>
          <w:sz w:val="22"/>
          <w:szCs w:val="22"/>
        </w:rPr>
        <w:t xml:space="preserve"> will simplify the </w:t>
      </w:r>
      <w:r>
        <w:rPr>
          <w:rFonts w:ascii="Arial" w:eastAsiaTheme="minorHAnsi" w:hAnsi="Arial" w:cs="Arial"/>
          <w:strike w:val="0"/>
          <w:sz w:val="22"/>
          <w:szCs w:val="22"/>
        </w:rPr>
        <w:t xml:space="preserve">application </w:t>
      </w:r>
      <w:r w:rsidRPr="0098292B">
        <w:rPr>
          <w:rFonts w:ascii="Arial" w:eastAsiaTheme="minorHAnsi" w:hAnsi="Arial" w:cs="Arial"/>
          <w:strike w:val="0"/>
          <w:sz w:val="22"/>
          <w:szCs w:val="22"/>
        </w:rPr>
        <w:t>process and eliminate unnecessary work for the Division</w:t>
      </w:r>
      <w:r>
        <w:rPr>
          <w:rFonts w:ascii="Arial" w:eastAsiaTheme="minorHAnsi" w:hAnsi="Arial" w:cs="Arial"/>
          <w:strike w:val="0"/>
          <w:sz w:val="22"/>
          <w:szCs w:val="22"/>
        </w:rPr>
        <w:t>,</w:t>
      </w:r>
      <w:r w:rsidRPr="0098292B">
        <w:rPr>
          <w:rFonts w:ascii="Arial" w:eastAsiaTheme="minorHAnsi" w:hAnsi="Arial" w:cs="Arial"/>
          <w:strike w:val="0"/>
          <w:sz w:val="22"/>
          <w:szCs w:val="22"/>
        </w:rPr>
        <w:t xml:space="preserve"> </w:t>
      </w:r>
      <w:r>
        <w:rPr>
          <w:rFonts w:ascii="Arial" w:eastAsiaTheme="minorHAnsi" w:hAnsi="Arial" w:cs="Arial"/>
          <w:strike w:val="0"/>
          <w:sz w:val="22"/>
          <w:szCs w:val="22"/>
        </w:rPr>
        <w:t xml:space="preserve">MPN </w:t>
      </w:r>
      <w:r w:rsidRPr="0098292B">
        <w:rPr>
          <w:rFonts w:ascii="Arial" w:eastAsiaTheme="minorHAnsi" w:hAnsi="Arial" w:cs="Arial"/>
          <w:strike w:val="0"/>
          <w:sz w:val="22"/>
          <w:szCs w:val="22"/>
        </w:rPr>
        <w:t>applicants</w:t>
      </w:r>
      <w:r>
        <w:rPr>
          <w:rFonts w:ascii="Arial" w:eastAsiaTheme="minorHAnsi" w:hAnsi="Arial" w:cs="Arial"/>
          <w:strike w:val="0"/>
          <w:sz w:val="22"/>
          <w:szCs w:val="22"/>
        </w:rPr>
        <w:t xml:space="preserve"> and MPN users.  The Institute</w:t>
      </w:r>
      <w:r w:rsidRPr="0098292B">
        <w:rPr>
          <w:rFonts w:ascii="Arial" w:eastAsiaTheme="minorHAnsi" w:hAnsi="Arial" w:cs="Arial"/>
          <w:strike w:val="0"/>
          <w:sz w:val="22"/>
          <w:szCs w:val="22"/>
        </w:rPr>
        <w:t xml:space="preserve"> </w:t>
      </w:r>
      <w:r>
        <w:rPr>
          <w:rFonts w:ascii="Arial" w:eastAsiaTheme="minorHAnsi" w:hAnsi="Arial" w:cs="Arial"/>
          <w:strike w:val="0"/>
          <w:sz w:val="22"/>
          <w:szCs w:val="22"/>
        </w:rPr>
        <w:t xml:space="preserve">supports the adoption of regulatory </w:t>
      </w:r>
      <w:r w:rsidRPr="0098292B">
        <w:rPr>
          <w:rFonts w:ascii="Arial" w:eastAsiaTheme="minorHAnsi" w:hAnsi="Arial" w:cs="Arial"/>
          <w:strike w:val="0"/>
          <w:sz w:val="22"/>
          <w:szCs w:val="22"/>
        </w:rPr>
        <w:t>language clarif</w:t>
      </w:r>
      <w:r>
        <w:rPr>
          <w:rFonts w:ascii="Arial" w:eastAsiaTheme="minorHAnsi" w:hAnsi="Arial" w:cs="Arial"/>
          <w:strike w:val="0"/>
          <w:sz w:val="22"/>
          <w:szCs w:val="22"/>
        </w:rPr>
        <w:t>ying</w:t>
      </w:r>
      <w:r w:rsidRPr="0098292B">
        <w:rPr>
          <w:rFonts w:ascii="Arial" w:eastAsiaTheme="minorHAnsi" w:hAnsi="Arial" w:cs="Arial"/>
          <w:strike w:val="0"/>
          <w:sz w:val="22"/>
          <w:szCs w:val="22"/>
        </w:rPr>
        <w:t xml:space="preserve"> that penalties are assessed against the MPN</w:t>
      </w:r>
      <w:r>
        <w:rPr>
          <w:rFonts w:ascii="Arial" w:eastAsiaTheme="minorHAnsi" w:hAnsi="Arial" w:cs="Arial"/>
          <w:strike w:val="0"/>
          <w:sz w:val="22"/>
          <w:szCs w:val="22"/>
        </w:rPr>
        <w:t xml:space="preserve"> applicant rather than</w:t>
      </w:r>
      <w:r w:rsidRPr="0098292B">
        <w:rPr>
          <w:rFonts w:ascii="Arial" w:eastAsiaTheme="minorHAnsi" w:hAnsi="Arial" w:cs="Arial"/>
          <w:strike w:val="0"/>
          <w:sz w:val="22"/>
          <w:szCs w:val="22"/>
        </w:rPr>
        <w:t xml:space="preserve"> each individual </w:t>
      </w:r>
      <w:r>
        <w:rPr>
          <w:rFonts w:ascii="Arial" w:eastAsiaTheme="minorHAnsi" w:hAnsi="Arial" w:cs="Arial"/>
          <w:strike w:val="0"/>
          <w:sz w:val="22"/>
          <w:szCs w:val="22"/>
        </w:rPr>
        <w:t>user</w:t>
      </w:r>
      <w:r w:rsidRPr="0098292B">
        <w:rPr>
          <w:rFonts w:ascii="Arial" w:eastAsiaTheme="minorHAnsi" w:hAnsi="Arial" w:cs="Arial"/>
          <w:strike w:val="0"/>
          <w:sz w:val="22"/>
          <w:szCs w:val="22"/>
        </w:rPr>
        <w:t xml:space="preserve"> of the MPN</w:t>
      </w:r>
      <w:r>
        <w:rPr>
          <w:rFonts w:ascii="Arial" w:eastAsiaTheme="minorHAnsi" w:hAnsi="Arial" w:cs="Arial"/>
          <w:strike w:val="0"/>
          <w:sz w:val="22"/>
          <w:szCs w:val="22"/>
        </w:rPr>
        <w:t xml:space="preserve"> so that</w:t>
      </w:r>
      <w:r w:rsidRPr="000D11D5">
        <w:rPr>
          <w:rFonts w:ascii="Arial" w:eastAsiaTheme="minorHAnsi" w:hAnsi="Arial" w:cs="Arial"/>
          <w:strike w:val="0"/>
          <w:sz w:val="22"/>
          <w:szCs w:val="22"/>
        </w:rPr>
        <w:t xml:space="preserve"> </w:t>
      </w:r>
      <w:r>
        <w:rPr>
          <w:rFonts w:ascii="Arial" w:eastAsiaTheme="minorHAnsi" w:hAnsi="Arial" w:cs="Arial"/>
          <w:strike w:val="0"/>
          <w:sz w:val="22"/>
          <w:szCs w:val="22"/>
        </w:rPr>
        <w:t>there is no</w:t>
      </w:r>
      <w:r w:rsidRPr="0098292B">
        <w:rPr>
          <w:rFonts w:ascii="Arial" w:eastAsiaTheme="minorHAnsi" w:hAnsi="Arial" w:cs="Arial"/>
          <w:strike w:val="0"/>
          <w:sz w:val="22"/>
          <w:szCs w:val="22"/>
        </w:rPr>
        <w:t xml:space="preserve"> unintended multiplication of penalty assessments.  </w:t>
      </w:r>
    </w:p>
    <w:p w:rsidR="00BC71BF" w:rsidRDefault="00BC71BF" w:rsidP="00BC71BF">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While the enabling statute clearly allows the AD to enforce the statutory provisions and the implementing regulations with administrative penalties, the Institute is concerned that an overly aggressive penalty structure will cause legitimate MPNs to drop out of the workers' compensation system and prevent medical networks from using the statutory tools that the Legislature provided to achieve the highest quality of care.  The networks will not want run the risk of incurring excessive and unreasonable penalties.  Physician network access standards that dilute network quality and the penalty provisions taken together threaten to terminate the effective use of MPNs and reverse, by regulatory fiat, the Legislature’s social policy decision to allow employers to control medical care through the use of Medical Provider Networks.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The physician access standards must, therefore, be consistent with </w:t>
      </w:r>
      <w:r w:rsidR="00BC7204">
        <w:rPr>
          <w:rFonts w:ascii="Arial" w:eastAsiaTheme="minorHAnsi" w:hAnsi="Arial" w:cs="Arial"/>
          <w:strike w:val="0"/>
          <w:sz w:val="22"/>
          <w:szCs w:val="22"/>
        </w:rPr>
        <w:t xml:space="preserve">Labor Code </w:t>
      </w:r>
      <w:r w:rsidRPr="0098292B">
        <w:rPr>
          <w:rFonts w:ascii="Arial" w:eastAsiaTheme="minorHAnsi" w:hAnsi="Arial" w:cs="Arial"/>
          <w:strike w:val="0"/>
          <w:sz w:val="22"/>
          <w:szCs w:val="22"/>
        </w:rPr>
        <w:t>section 4616.  The penalty provisions must not prohibit or impede the delivery of medical care through the Medical Provider Network that is mandated or permitted by the statute.  “[</w:t>
      </w:r>
      <w:proofErr w:type="gramStart"/>
      <w:r w:rsidRPr="0098292B">
        <w:rPr>
          <w:rFonts w:ascii="Arial" w:eastAsiaTheme="minorHAnsi" w:hAnsi="Arial" w:cs="Arial"/>
          <w:strike w:val="0"/>
          <w:sz w:val="22"/>
          <w:szCs w:val="22"/>
        </w:rPr>
        <w:t>a</w:t>
      </w:r>
      <w:proofErr w:type="gramEnd"/>
      <w:r w:rsidRPr="0098292B">
        <w:rPr>
          <w:rFonts w:ascii="Arial" w:eastAsiaTheme="minorHAnsi" w:hAnsi="Arial" w:cs="Arial"/>
          <w:strike w:val="0"/>
          <w:sz w:val="22"/>
          <w:szCs w:val="22"/>
        </w:rPr>
        <w:t xml:space="preserve">] regulation that is inconsistent with the statute it seeks to implement is invalid.”  </w:t>
      </w:r>
      <w:proofErr w:type="gramStart"/>
      <w:r w:rsidRPr="00CB7B28">
        <w:rPr>
          <w:rFonts w:ascii="Arial" w:eastAsiaTheme="minorHAnsi" w:hAnsi="Arial" w:cs="Arial"/>
          <w:strike w:val="0"/>
          <w:sz w:val="22"/>
          <w:szCs w:val="22"/>
          <w:u w:val="single"/>
        </w:rPr>
        <w:t>Mendoza v WCAB</w:t>
      </w:r>
      <w:r w:rsidRPr="0098292B">
        <w:rPr>
          <w:rFonts w:ascii="Arial" w:eastAsiaTheme="minorHAnsi" w:hAnsi="Arial" w:cs="Arial"/>
          <w:strike w:val="0"/>
          <w:sz w:val="22"/>
          <w:szCs w:val="22"/>
        </w:rPr>
        <w:t xml:space="preserve"> (2010) En Banc Opinion 75 CCC 63.</w:t>
      </w:r>
      <w:proofErr w:type="gramEnd"/>
    </w:p>
    <w:p w:rsidR="0098292B" w:rsidRPr="0098292B" w:rsidRDefault="0098292B" w:rsidP="0098292B">
      <w:pPr>
        <w:autoSpaceDE/>
        <w:autoSpaceDN/>
        <w:rPr>
          <w:rFonts w:ascii="Arial" w:eastAsiaTheme="minorHAnsi" w:hAnsi="Arial" w:cs="Arial"/>
          <w:strike w:val="0"/>
          <w:sz w:val="22"/>
          <w:szCs w:val="22"/>
        </w:rPr>
      </w:pPr>
    </w:p>
    <w:p w:rsidR="00440C24" w:rsidRDefault="00440C24"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lastRenderedPageBreak/>
        <w:t>The legislative intent underlying the creation of the Medical Provider Networks and the effort to make them more efficient and more accountable is clear.  The scope and breadth of the proposed regulations is a threat to the development of new MPNs, to the continued viability of large and small networks, and to all of the positive outcomes established since their inception.</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The Institute appreciates the impact penalties have as a deterrent to non-compliance, but there is a difference between a deterrent to non-compliance and an impediment to the legitimate operation of an MPN.  We recommend limiting penalties to those activities that have a detrimental impact on the operation of the MPN, adopting penalties that are proportionate to the violation and to other penalties, instituting a penalty cap for each review period, and including provisions for mitigation as permitted under other administrative penalty provisions.  The Administrative Director can achieve compliance and accountability with a more reasonable penalty schedule.   </w:t>
      </w: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p>
    <w:p w:rsidR="0098292B" w:rsidRPr="0098292B" w:rsidRDefault="0098292B" w:rsidP="0098292B">
      <w:pPr>
        <w:autoSpaceDE/>
        <w:autoSpaceDN/>
        <w:rPr>
          <w:rFonts w:ascii="Arial" w:eastAsiaTheme="minorHAnsi" w:hAnsi="Arial" w:cs="Arial"/>
          <w:strike w:val="0"/>
          <w:sz w:val="22"/>
          <w:szCs w:val="22"/>
        </w:rPr>
      </w:pPr>
      <w:r w:rsidRPr="0098292B">
        <w:rPr>
          <w:rFonts w:ascii="Arial" w:eastAsiaTheme="minorHAnsi" w:hAnsi="Arial" w:cs="Arial"/>
          <w:strike w:val="0"/>
          <w:sz w:val="22"/>
          <w:szCs w:val="22"/>
        </w:rPr>
        <w:t xml:space="preserve">Recommended specific modifications are indicated by </w:t>
      </w:r>
      <w:r w:rsidRPr="00557C7D">
        <w:rPr>
          <w:rFonts w:ascii="Arial" w:eastAsiaTheme="minorHAnsi" w:hAnsi="Arial" w:cs="Arial"/>
          <w:strike w:val="0"/>
          <w:sz w:val="22"/>
          <w:szCs w:val="22"/>
          <w:u w:val="single"/>
          <w:shd w:val="clear" w:color="auto" w:fill="FFFF00"/>
        </w:rPr>
        <w:t>underline</w:t>
      </w:r>
      <w:r w:rsidRPr="0098292B">
        <w:rPr>
          <w:rFonts w:ascii="Arial" w:eastAsiaTheme="minorHAnsi" w:hAnsi="Arial" w:cs="Arial"/>
          <w:strike w:val="0"/>
          <w:sz w:val="22"/>
          <w:szCs w:val="22"/>
        </w:rPr>
        <w:t xml:space="preserve"> and </w:t>
      </w:r>
      <w:r w:rsidRPr="00557C7D">
        <w:rPr>
          <w:rFonts w:ascii="Arial" w:eastAsiaTheme="minorHAnsi" w:hAnsi="Arial" w:cs="Arial"/>
          <w:sz w:val="22"/>
          <w:szCs w:val="22"/>
          <w:shd w:val="clear" w:color="auto" w:fill="FFFF00"/>
        </w:rPr>
        <w:t>strikethrough</w:t>
      </w:r>
      <w:r w:rsidRPr="0098292B">
        <w:rPr>
          <w:rFonts w:ascii="Arial" w:eastAsiaTheme="minorHAnsi" w:hAnsi="Arial" w:cs="Arial"/>
          <w:strike w:val="0"/>
          <w:sz w:val="22"/>
          <w:szCs w:val="22"/>
        </w:rPr>
        <w:t xml:space="preserve">, and discussion </w:t>
      </w:r>
      <w:r w:rsidR="003D34FF">
        <w:rPr>
          <w:rFonts w:ascii="Arial" w:eastAsiaTheme="minorHAnsi" w:hAnsi="Arial" w:cs="Arial"/>
          <w:strike w:val="0"/>
          <w:sz w:val="22"/>
          <w:szCs w:val="22"/>
        </w:rPr>
        <w:t>by</w:t>
      </w:r>
      <w:r w:rsidRPr="0098292B">
        <w:rPr>
          <w:rFonts w:ascii="Arial" w:eastAsiaTheme="minorHAnsi" w:hAnsi="Arial" w:cs="Arial"/>
          <w:strike w:val="0"/>
          <w:sz w:val="22"/>
          <w:szCs w:val="22"/>
        </w:rPr>
        <w:t xml:space="preserve"> </w:t>
      </w:r>
      <w:r w:rsidRPr="0098292B">
        <w:rPr>
          <w:rFonts w:ascii="Arial" w:eastAsiaTheme="minorHAnsi" w:hAnsi="Arial" w:cs="Arial"/>
          <w:i/>
          <w:strike w:val="0"/>
          <w:sz w:val="22"/>
          <w:szCs w:val="22"/>
        </w:rPr>
        <w:t>italics</w:t>
      </w:r>
      <w:r w:rsidRPr="0098292B">
        <w:rPr>
          <w:rFonts w:ascii="Arial" w:eastAsiaTheme="minorHAnsi" w:hAnsi="Arial" w:cs="Arial"/>
          <w:strike w:val="0"/>
          <w:sz w:val="22"/>
          <w:szCs w:val="22"/>
        </w:rPr>
        <w:t xml:space="preserve">. </w:t>
      </w:r>
    </w:p>
    <w:p w:rsidR="0098292B" w:rsidRPr="0098292B" w:rsidRDefault="0098292B" w:rsidP="0098292B">
      <w:pPr>
        <w:autoSpaceDE/>
        <w:autoSpaceDN/>
        <w:rPr>
          <w:rFonts w:ascii="Arial" w:eastAsiaTheme="minorHAnsi" w:hAnsi="Arial" w:cs="Arial"/>
          <w:strike w:val="0"/>
          <w:sz w:val="22"/>
          <w:szCs w:val="22"/>
        </w:rPr>
      </w:pPr>
    </w:p>
    <w:p w:rsidR="008937F7" w:rsidRPr="008937F7" w:rsidRDefault="008937F7" w:rsidP="008937F7">
      <w:pPr>
        <w:overflowPunct w:val="0"/>
        <w:adjustRightInd w:val="0"/>
        <w:spacing w:before="240"/>
        <w:jc w:val="center"/>
        <w:textAlignment w:val="baseline"/>
        <w:rPr>
          <w:b/>
          <w:strike w:val="0"/>
          <w:sz w:val="32"/>
          <w:u w:val="single"/>
        </w:rPr>
      </w:pPr>
      <w:r>
        <w:rPr>
          <w:b/>
          <w:strike w:val="0"/>
          <w:sz w:val="32"/>
          <w:u w:val="single"/>
        </w:rPr>
        <w:t>Regulations</w:t>
      </w:r>
    </w:p>
    <w:p w:rsidR="008261A9" w:rsidRPr="008261A9" w:rsidRDefault="008261A9" w:rsidP="008261A9">
      <w:pPr>
        <w:overflowPunct w:val="0"/>
        <w:adjustRightInd w:val="0"/>
        <w:spacing w:before="240"/>
        <w:jc w:val="both"/>
        <w:textAlignment w:val="baseline"/>
        <w:rPr>
          <w:b/>
          <w:strike w:val="0"/>
        </w:rPr>
      </w:pPr>
      <w:r w:rsidRPr="008261A9">
        <w:rPr>
          <w:b/>
          <w:strike w:val="0"/>
        </w:rPr>
        <w:t>Section 9767.1 Medical Provider Networks – Definitions:</w:t>
      </w:r>
    </w:p>
    <w:p w:rsidR="009A3CF0" w:rsidRDefault="009A3CF0" w:rsidP="001846AB">
      <w:pPr>
        <w:overflowPunct w:val="0"/>
        <w:adjustRightInd w:val="0"/>
        <w:textAlignment w:val="baseline"/>
        <w:rPr>
          <w:strike w:val="0"/>
        </w:rPr>
      </w:pPr>
    </w:p>
    <w:p w:rsidR="001846AB" w:rsidRPr="00EF29A0" w:rsidRDefault="009A3CF0" w:rsidP="001846AB">
      <w:pPr>
        <w:overflowPunct w:val="0"/>
        <w:adjustRightInd w:val="0"/>
        <w:textAlignment w:val="baseline"/>
        <w:rPr>
          <w:strike w:val="0"/>
          <w:u w:val="single"/>
        </w:rPr>
      </w:pPr>
      <w:r>
        <w:rPr>
          <w:strike w:val="0"/>
        </w:rPr>
        <w:t xml:space="preserve"> </w:t>
      </w:r>
      <w:r w:rsidR="00F56582">
        <w:rPr>
          <w:strike w:val="0"/>
        </w:rPr>
        <w:t>(a)</w:t>
      </w:r>
      <w:r w:rsidR="001846AB" w:rsidRPr="00EF29A0">
        <w:rPr>
          <w:strike w:val="0"/>
        </w:rPr>
        <w:t xml:space="preserve">(7) “Entity that provides physician network services” means </w:t>
      </w:r>
      <w:r w:rsidR="00E442BC">
        <w:rPr>
          <w:strike w:val="0"/>
        </w:rPr>
        <w:t>a</w:t>
      </w:r>
      <w:r w:rsidR="00F21520" w:rsidRPr="00F21520">
        <w:rPr>
          <w:strike w:val="0"/>
          <w:highlight w:val="yellow"/>
          <w:u w:val="single"/>
        </w:rPr>
        <w:t>n</w:t>
      </w:r>
      <w:r w:rsidR="00E442BC" w:rsidRPr="00F21520">
        <w:rPr>
          <w:strike w:val="0"/>
          <w:highlight w:val="yellow"/>
        </w:rPr>
        <w:t xml:space="preserve"> </w:t>
      </w:r>
      <w:r w:rsidR="00E442BC" w:rsidRPr="00F21520">
        <w:rPr>
          <w:highlight w:val="yellow"/>
        </w:rPr>
        <w:t>legal</w:t>
      </w:r>
      <w:r w:rsidR="001846AB" w:rsidRPr="00EF29A0">
        <w:rPr>
          <w:strike w:val="0"/>
        </w:rPr>
        <w:t xml:space="preserve"> </w:t>
      </w:r>
      <w:r w:rsidR="001846AB" w:rsidRPr="00ED6922">
        <w:rPr>
          <w:strike w:val="0"/>
        </w:rPr>
        <w:t xml:space="preserve">entity </w:t>
      </w:r>
      <w:r w:rsidR="001846AB" w:rsidRPr="001846AB">
        <w:rPr>
          <w:strike w:val="0"/>
        </w:rPr>
        <w:t xml:space="preserve">employing or </w:t>
      </w:r>
      <w:r w:rsidR="001846AB" w:rsidRPr="00B81C18">
        <w:rPr>
          <w:highlight w:val="yellow"/>
        </w:rPr>
        <w:t>contracting with</w:t>
      </w:r>
      <w:r w:rsidR="001846AB" w:rsidRPr="00B81C18">
        <w:rPr>
          <w:strike w:val="0"/>
          <w:highlight w:val="yellow"/>
        </w:rPr>
        <w:t xml:space="preserve"> </w:t>
      </w:r>
      <w:r w:rsidR="00B81C18" w:rsidRPr="00B81C18">
        <w:rPr>
          <w:strike w:val="0"/>
          <w:highlight w:val="yellow"/>
          <w:u w:val="single"/>
        </w:rPr>
        <w:t>providing</w:t>
      </w:r>
      <w:r w:rsidR="00B81C18">
        <w:rPr>
          <w:strike w:val="0"/>
          <w:u w:val="single"/>
        </w:rPr>
        <w:t xml:space="preserve"> </w:t>
      </w:r>
      <w:r w:rsidR="001846AB" w:rsidRPr="001846AB">
        <w:rPr>
          <w:strike w:val="0"/>
        </w:rPr>
        <w:t>physicians and other medical providers</w:t>
      </w:r>
      <w:r w:rsidR="00E442BC">
        <w:rPr>
          <w:strike w:val="0"/>
        </w:rPr>
        <w:t xml:space="preserve">, including but not limited to third party administrators and managed care </w:t>
      </w:r>
      <w:r w:rsidR="00E442BC" w:rsidRPr="00CC638D">
        <w:rPr>
          <w:highlight w:val="yellow"/>
        </w:rPr>
        <w:t>networks</w:t>
      </w:r>
      <w:r w:rsidR="00CC638D" w:rsidRPr="00CC638D">
        <w:rPr>
          <w:strike w:val="0"/>
          <w:highlight w:val="yellow"/>
          <w:u w:val="single"/>
        </w:rPr>
        <w:t xml:space="preserve"> entities</w:t>
      </w:r>
      <w:r w:rsidR="00E442BC">
        <w:rPr>
          <w:strike w:val="0"/>
        </w:rPr>
        <w:t>,</w:t>
      </w:r>
      <w:r w:rsidR="001846AB" w:rsidRPr="001846AB">
        <w:rPr>
          <w:strike w:val="0"/>
        </w:rPr>
        <w:t xml:space="preserve"> to</w:t>
      </w:r>
      <w:r w:rsidR="001846AB" w:rsidRPr="00EF29A0">
        <w:rPr>
          <w:strike w:val="0"/>
        </w:rPr>
        <w:t xml:space="preserve"> deliver medical treatment to injured workers on behalf of one or more</w:t>
      </w:r>
      <w:r w:rsidR="00E442BC">
        <w:t xml:space="preserve"> </w:t>
      </w:r>
      <w:r w:rsidR="00E442BC" w:rsidRPr="0073595F">
        <w:rPr>
          <w:highlight w:val="yellow"/>
        </w:rPr>
        <w:t xml:space="preserve">insurers, </w:t>
      </w:r>
      <w:r w:rsidR="007730F5" w:rsidRPr="0073595F">
        <w:rPr>
          <w:highlight w:val="yellow"/>
        </w:rPr>
        <w:t xml:space="preserve">self-insured employers, the Uninsured Employers Benefits Trust Fund, the California Insurance Guaranty Association, or </w:t>
      </w:r>
      <w:r w:rsidR="0073595F" w:rsidRPr="0073595F">
        <w:rPr>
          <w:highlight w:val="yellow"/>
        </w:rPr>
        <w:t>the Self-Insurers Security Fund</w:t>
      </w:r>
      <w:r w:rsidR="001846AB" w:rsidRPr="0073595F">
        <w:rPr>
          <w:strike w:val="0"/>
          <w:highlight w:val="yellow"/>
        </w:rPr>
        <w:t xml:space="preserve"> </w:t>
      </w:r>
      <w:r w:rsidR="007730F5" w:rsidRPr="0073595F">
        <w:rPr>
          <w:strike w:val="0"/>
          <w:highlight w:val="yellow"/>
          <w:u w:val="single"/>
        </w:rPr>
        <w:t xml:space="preserve">claims </w:t>
      </w:r>
      <w:r w:rsidR="00046B7A" w:rsidRPr="00046B7A">
        <w:rPr>
          <w:strike w:val="0"/>
          <w:highlight w:val="yellow"/>
          <w:u w:val="single"/>
        </w:rPr>
        <w:t>administrators</w:t>
      </w:r>
      <w:r w:rsidR="001846AB" w:rsidRPr="00EF29A0">
        <w:rPr>
          <w:strike w:val="0"/>
        </w:rPr>
        <w:t xml:space="preserve">, and that meets the requirements of this article, Labor Code 4616 </w:t>
      </w:r>
      <w:r w:rsidR="001846AB" w:rsidRPr="006C0968">
        <w:rPr>
          <w:i/>
          <w:strike w:val="0"/>
        </w:rPr>
        <w:t>et seq</w:t>
      </w:r>
      <w:r w:rsidR="001846AB" w:rsidRPr="00EF29A0">
        <w:rPr>
          <w:strike w:val="0"/>
        </w:rPr>
        <w:t>., and corresponding regulations.</w:t>
      </w:r>
    </w:p>
    <w:p w:rsidR="001846AB" w:rsidRPr="00EF29A0" w:rsidRDefault="001846AB" w:rsidP="001846AB">
      <w:pPr>
        <w:overflowPunct w:val="0"/>
        <w:adjustRightInd w:val="0"/>
        <w:textAlignment w:val="baseline"/>
        <w:rPr>
          <w:strike w:val="0"/>
        </w:rPr>
      </w:pPr>
    </w:p>
    <w:p w:rsidR="004420AB" w:rsidRDefault="004420AB" w:rsidP="004420AB">
      <w:pPr>
        <w:overflowPunct w:val="0"/>
        <w:adjustRightInd w:val="0"/>
        <w:ind w:left="720"/>
        <w:textAlignment w:val="baseline"/>
        <w:rPr>
          <w:i/>
          <w:strike w:val="0"/>
        </w:rPr>
      </w:pPr>
      <w:r w:rsidRPr="006D261B">
        <w:rPr>
          <w:i/>
          <w:strike w:val="0"/>
        </w:rPr>
        <w:t>The term “legal” is unclear and should be struck or</w:t>
      </w:r>
      <w:r>
        <w:rPr>
          <w:i/>
          <w:strike w:val="0"/>
        </w:rPr>
        <w:t xml:space="preserve"> </w:t>
      </w:r>
      <w:r w:rsidRPr="006D261B">
        <w:rPr>
          <w:i/>
          <w:strike w:val="0"/>
        </w:rPr>
        <w:t xml:space="preserve">defined. </w:t>
      </w:r>
    </w:p>
    <w:p w:rsidR="004420AB" w:rsidRPr="006D261B" w:rsidRDefault="004420AB" w:rsidP="004420AB">
      <w:pPr>
        <w:overflowPunct w:val="0"/>
        <w:adjustRightInd w:val="0"/>
        <w:ind w:left="720"/>
        <w:textAlignment w:val="baseline"/>
        <w:rPr>
          <w:i/>
          <w:strike w:val="0"/>
        </w:rPr>
      </w:pPr>
    </w:p>
    <w:p w:rsidR="00B81C18" w:rsidRPr="004420AB" w:rsidRDefault="00B81C18" w:rsidP="00B81C18">
      <w:pPr>
        <w:autoSpaceDE/>
        <w:autoSpaceDN/>
        <w:spacing w:line="276" w:lineRule="auto"/>
        <w:ind w:left="720"/>
        <w:rPr>
          <w:i/>
          <w:strike w:val="0"/>
        </w:rPr>
      </w:pPr>
      <w:r w:rsidRPr="00B81C18">
        <w:rPr>
          <w:i/>
          <w:strike w:val="0"/>
        </w:rPr>
        <w:t xml:space="preserve">The term “contracting” should be replaced with the term “providing,” which is used in Labor Code section 4616(b)(3)(1).  Harmonizing this language will reduce disputes and confusion over which types of entities fit within the definition. </w:t>
      </w:r>
    </w:p>
    <w:p w:rsidR="004420AB" w:rsidRPr="004420AB" w:rsidRDefault="004420AB" w:rsidP="00B81C18">
      <w:pPr>
        <w:autoSpaceDE/>
        <w:autoSpaceDN/>
        <w:spacing w:line="276" w:lineRule="auto"/>
        <w:ind w:left="720"/>
        <w:rPr>
          <w:i/>
          <w:strike w:val="0"/>
        </w:rPr>
      </w:pPr>
    </w:p>
    <w:p w:rsidR="00C4018E" w:rsidRPr="00C4018E" w:rsidRDefault="00C4018E" w:rsidP="00C4018E">
      <w:pPr>
        <w:overflowPunct w:val="0"/>
        <w:adjustRightInd w:val="0"/>
        <w:ind w:left="720"/>
        <w:textAlignment w:val="baseline"/>
        <w:rPr>
          <w:i/>
          <w:strike w:val="0"/>
        </w:rPr>
      </w:pPr>
      <w:r w:rsidRPr="00C4018E">
        <w:rPr>
          <w:i/>
          <w:strike w:val="0"/>
        </w:rPr>
        <w:t>We suggest using the term “managed care entities</w:t>
      </w:r>
      <w:r w:rsidR="00181089">
        <w:rPr>
          <w:i/>
          <w:strike w:val="0"/>
        </w:rPr>
        <w:t>.</w:t>
      </w:r>
      <w:r w:rsidRPr="00C4018E">
        <w:rPr>
          <w:i/>
          <w:strike w:val="0"/>
        </w:rPr>
        <w:t xml:space="preserve">”  The term “network” could imply that these entities have direct contracts with medical providers which may not be the case in all situations.  A managed care entity’s MPN may include medical providers under direct contract with the MPN and medical providers accessed through a contract(s) with a “traditional” provider network. </w:t>
      </w:r>
    </w:p>
    <w:p w:rsidR="00C4018E" w:rsidRPr="00C4018E" w:rsidRDefault="00C4018E" w:rsidP="00C4018E">
      <w:pPr>
        <w:overflowPunct w:val="0"/>
        <w:adjustRightInd w:val="0"/>
        <w:ind w:left="720"/>
        <w:textAlignment w:val="baseline"/>
        <w:rPr>
          <w:i/>
          <w:strike w:val="0"/>
        </w:rPr>
      </w:pPr>
    </w:p>
    <w:p w:rsidR="006D261B" w:rsidRDefault="00BF158E" w:rsidP="006D261B">
      <w:pPr>
        <w:overflowPunct w:val="0"/>
        <w:adjustRightInd w:val="0"/>
        <w:ind w:left="720"/>
        <w:textAlignment w:val="baseline"/>
        <w:rPr>
          <w:rFonts w:ascii="Helvetica" w:eastAsia="Calibri" w:hAnsi="Helvetica" w:cs="Helvetica"/>
          <w:i/>
          <w:strike w:val="0"/>
        </w:rPr>
      </w:pPr>
      <w:r>
        <w:rPr>
          <w:i/>
          <w:strike w:val="0"/>
        </w:rPr>
        <w:t>The</w:t>
      </w:r>
      <w:r w:rsidR="001D03F8">
        <w:rPr>
          <w:i/>
          <w:strike w:val="0"/>
        </w:rPr>
        <w:t xml:space="preserve"> claims administrator is the entity that that administers the claim</w:t>
      </w:r>
      <w:r>
        <w:rPr>
          <w:i/>
          <w:strike w:val="0"/>
        </w:rPr>
        <w:t>s</w:t>
      </w:r>
      <w:r w:rsidR="00D45635">
        <w:rPr>
          <w:i/>
          <w:strike w:val="0"/>
        </w:rPr>
        <w:t xml:space="preserve">.  </w:t>
      </w:r>
      <w:r w:rsidR="002F3B80">
        <w:rPr>
          <w:i/>
          <w:strike w:val="0"/>
        </w:rPr>
        <w:t>A claims administrator</w:t>
      </w:r>
      <w:r w:rsidR="00D45635">
        <w:rPr>
          <w:i/>
          <w:strike w:val="0"/>
        </w:rPr>
        <w:t xml:space="preserve"> may </w:t>
      </w:r>
      <w:r w:rsidR="00C4018E" w:rsidRPr="00C4018E">
        <w:rPr>
          <w:i/>
          <w:strike w:val="0"/>
        </w:rPr>
        <w:t xml:space="preserve">use </w:t>
      </w:r>
      <w:r w:rsidR="00D45635">
        <w:rPr>
          <w:i/>
          <w:strike w:val="0"/>
        </w:rPr>
        <w:t xml:space="preserve">one or more </w:t>
      </w:r>
      <w:r w:rsidR="00C4018E" w:rsidRPr="00C4018E">
        <w:rPr>
          <w:i/>
          <w:strike w:val="0"/>
        </w:rPr>
        <w:t xml:space="preserve">MPNs to deliver medical treatment to injured employees.  Using the term “claims administrator” is clear and simple.  If the Division decides to list claims administrator types, the Institute recommends </w:t>
      </w:r>
      <w:r w:rsidR="00DC75B9">
        <w:rPr>
          <w:i/>
          <w:strike w:val="0"/>
        </w:rPr>
        <w:t xml:space="preserve">adding “third party administrator,” and </w:t>
      </w:r>
      <w:r w:rsidR="00C4018E" w:rsidRPr="00C4018E">
        <w:rPr>
          <w:i/>
          <w:strike w:val="0"/>
        </w:rPr>
        <w:t>either adding “State Compensation Insurance Fund” to the</w:t>
      </w:r>
      <w:r w:rsidR="009A3CF0">
        <w:rPr>
          <w:i/>
          <w:strike w:val="0"/>
        </w:rPr>
        <w:t xml:space="preserve"> proposed</w:t>
      </w:r>
      <w:r w:rsidR="00C4018E" w:rsidRPr="00C4018E">
        <w:rPr>
          <w:i/>
          <w:strike w:val="0"/>
        </w:rPr>
        <w:t xml:space="preserve"> listing, or since the definition of insurer in (a</w:t>
      </w:r>
      <w:proofErr w:type="gramStart"/>
      <w:r w:rsidR="00C4018E" w:rsidRPr="00C4018E">
        <w:rPr>
          <w:i/>
          <w:strike w:val="0"/>
        </w:rPr>
        <w:t>)(</w:t>
      </w:r>
      <w:proofErr w:type="gramEnd"/>
      <w:r w:rsidR="00C4018E" w:rsidRPr="00C4018E">
        <w:rPr>
          <w:i/>
          <w:strike w:val="0"/>
        </w:rPr>
        <w:t xml:space="preserve">13) includes “the California </w:t>
      </w:r>
      <w:r w:rsidR="00C4018E" w:rsidRPr="00C4018E">
        <w:rPr>
          <w:i/>
          <w:strike w:val="0"/>
        </w:rPr>
        <w:lastRenderedPageBreak/>
        <w:t xml:space="preserve">Insurance Guaranty Association,” deleting “the California Insurance Guaranty Association.” </w:t>
      </w:r>
    </w:p>
    <w:p w:rsidR="006D261B" w:rsidRDefault="006D261B" w:rsidP="006D261B">
      <w:pPr>
        <w:overflowPunct w:val="0"/>
        <w:adjustRightInd w:val="0"/>
        <w:ind w:left="720"/>
        <w:textAlignment w:val="baseline"/>
        <w:rPr>
          <w:rFonts w:ascii="Helvetica" w:eastAsia="Calibri" w:hAnsi="Helvetica" w:cs="Helvetica"/>
          <w:i/>
          <w:strike w:val="0"/>
        </w:rPr>
      </w:pPr>
    </w:p>
    <w:p w:rsidR="008261A9" w:rsidRPr="009E2BB2" w:rsidRDefault="00F56582" w:rsidP="00C4018E">
      <w:pPr>
        <w:overflowPunct w:val="0"/>
        <w:adjustRightInd w:val="0"/>
        <w:spacing w:before="240"/>
        <w:textAlignment w:val="baseline"/>
        <w:rPr>
          <w:i/>
          <w:strike w:val="0"/>
          <w:color w:val="FF0000"/>
        </w:rPr>
      </w:pPr>
      <w:r>
        <w:rPr>
          <w:strike w:val="0"/>
        </w:rPr>
        <w:t>(a)</w:t>
      </w:r>
      <w:r w:rsidR="008261A9" w:rsidRPr="00EF29A0">
        <w:rPr>
          <w:strike w:val="0"/>
        </w:rPr>
        <w:t>(12)  “</w:t>
      </w:r>
      <w:r w:rsidR="008261A9" w:rsidRPr="00BF158E">
        <w:rPr>
          <w:strike w:val="0"/>
        </w:rPr>
        <w:t>Health care shortage</w:t>
      </w:r>
      <w:r w:rsidR="008261A9" w:rsidRPr="00EF29A0">
        <w:rPr>
          <w:strike w:val="0"/>
        </w:rPr>
        <w:t xml:space="preserve">” means a situation in </w:t>
      </w:r>
      <w:r w:rsidR="00094A3C">
        <w:rPr>
          <w:strike w:val="0"/>
        </w:rPr>
        <w:t>a geographical area</w:t>
      </w:r>
      <w:r w:rsidR="00FA3A74">
        <w:rPr>
          <w:strike w:val="0"/>
        </w:rPr>
        <w:t xml:space="preserve"> in </w:t>
      </w:r>
      <w:r w:rsidR="008261A9" w:rsidRPr="00EF29A0">
        <w:rPr>
          <w:strike w:val="0"/>
        </w:rPr>
        <w:t xml:space="preserve">which </w:t>
      </w:r>
      <w:r w:rsidR="00A77016">
        <w:rPr>
          <w:strike w:val="0"/>
        </w:rPr>
        <w:t>the</w:t>
      </w:r>
      <w:r w:rsidR="008261A9" w:rsidRPr="00EF29A0">
        <w:rPr>
          <w:strike w:val="0"/>
        </w:rPr>
        <w:t xml:space="preserve"> </w:t>
      </w:r>
      <w:r w:rsidR="00FA3A74">
        <w:rPr>
          <w:strike w:val="0"/>
        </w:rPr>
        <w:t xml:space="preserve">number of </w:t>
      </w:r>
      <w:r w:rsidR="00350889">
        <w:rPr>
          <w:strike w:val="0"/>
        </w:rPr>
        <w:t>physicians</w:t>
      </w:r>
      <w:r w:rsidR="00A77016">
        <w:rPr>
          <w:strike w:val="0"/>
        </w:rPr>
        <w:t xml:space="preserve"> </w:t>
      </w:r>
      <w:r w:rsidR="00A77016" w:rsidRPr="00A77016">
        <w:rPr>
          <w:strike w:val="0"/>
          <w:highlight w:val="yellow"/>
          <w:u w:val="single"/>
        </w:rPr>
        <w:t>of a particular type</w:t>
      </w:r>
      <w:r w:rsidR="00350889" w:rsidRPr="00A77016">
        <w:rPr>
          <w:strike w:val="0"/>
          <w:highlight w:val="yellow"/>
        </w:rPr>
        <w:t xml:space="preserve"> </w:t>
      </w:r>
      <w:r w:rsidR="00350889" w:rsidRPr="00A77016">
        <w:rPr>
          <w:highlight w:val="yellow"/>
        </w:rPr>
        <w:t xml:space="preserve">in </w:t>
      </w:r>
      <w:r w:rsidR="00350889" w:rsidRPr="002F0976">
        <w:rPr>
          <w:highlight w:val="yellow"/>
        </w:rPr>
        <w:t>a particular specialty</w:t>
      </w:r>
      <w:r w:rsidR="008261A9" w:rsidRPr="00EF29A0">
        <w:rPr>
          <w:strike w:val="0"/>
        </w:rPr>
        <w:t xml:space="preserve"> </w:t>
      </w:r>
      <w:r w:rsidR="00A77016">
        <w:rPr>
          <w:strike w:val="0"/>
        </w:rPr>
        <w:t>who are available and willing to treat injured employees under the California workers’ compensation system is insufficient</w:t>
      </w:r>
      <w:r w:rsidR="00094A3C">
        <w:rPr>
          <w:strike w:val="0"/>
        </w:rPr>
        <w:t xml:space="preserve"> </w:t>
      </w:r>
      <w:r w:rsidR="008261A9" w:rsidRPr="00EF29A0">
        <w:rPr>
          <w:strike w:val="0"/>
        </w:rPr>
        <w:t xml:space="preserve">to meet the Medical Provider Network access standards set forth in 9767.5(a) through (c) </w:t>
      </w:r>
      <w:r w:rsidR="00350889">
        <w:rPr>
          <w:strike w:val="0"/>
        </w:rPr>
        <w:t xml:space="preserve">to ensure medical treatment is available and accessible at reasonable times.  A </w:t>
      </w:r>
      <w:r w:rsidR="00094A3C">
        <w:rPr>
          <w:strike w:val="0"/>
        </w:rPr>
        <w:t>lack</w:t>
      </w:r>
      <w:r w:rsidR="00350889">
        <w:rPr>
          <w:strike w:val="0"/>
        </w:rPr>
        <w:t xml:space="preserve"> of physicians </w:t>
      </w:r>
      <w:r w:rsidR="00094A3C">
        <w:rPr>
          <w:strike w:val="0"/>
        </w:rPr>
        <w:t xml:space="preserve">participating in an MPN does not constitute a health care shortage </w:t>
      </w:r>
      <w:r w:rsidR="00014BE4">
        <w:rPr>
          <w:strike w:val="0"/>
        </w:rPr>
        <w:t>where a sufficient number of physicians</w:t>
      </w:r>
      <w:r w:rsidR="00B22A16" w:rsidRPr="00B22A16">
        <w:rPr>
          <w:strike w:val="0"/>
        </w:rPr>
        <w:t xml:space="preserve"> </w:t>
      </w:r>
      <w:r w:rsidR="002F0976" w:rsidRPr="002F0976">
        <w:rPr>
          <w:highlight w:val="yellow"/>
        </w:rPr>
        <w:t>in that specialty</w:t>
      </w:r>
      <w:r w:rsidR="002F0976" w:rsidRPr="002F0976">
        <w:rPr>
          <w:strike w:val="0"/>
          <w:highlight w:val="yellow"/>
        </w:rPr>
        <w:t xml:space="preserve"> </w:t>
      </w:r>
      <w:r w:rsidR="002F0976" w:rsidRPr="002F0976">
        <w:rPr>
          <w:strike w:val="0"/>
          <w:highlight w:val="yellow"/>
          <w:u w:val="single"/>
        </w:rPr>
        <w:t xml:space="preserve">of </w:t>
      </w:r>
      <w:r w:rsidR="002F0976" w:rsidRPr="00014BE4">
        <w:rPr>
          <w:strike w:val="0"/>
          <w:highlight w:val="yellow"/>
          <w:u w:val="single"/>
        </w:rPr>
        <w:t>that type</w:t>
      </w:r>
      <w:r w:rsidR="00014BE4" w:rsidRPr="00014BE4">
        <w:rPr>
          <w:strike w:val="0"/>
          <w:highlight w:val="yellow"/>
          <w:u w:val="single"/>
        </w:rPr>
        <w:t xml:space="preserve"> is</w:t>
      </w:r>
      <w:r w:rsidR="00014BE4" w:rsidRPr="00014BE4">
        <w:rPr>
          <w:strike w:val="0"/>
          <w:highlight w:val="yellow"/>
        </w:rPr>
        <w:t xml:space="preserve"> </w:t>
      </w:r>
      <w:r w:rsidR="00014BE4" w:rsidRPr="00014BE4">
        <w:rPr>
          <w:highlight w:val="yellow"/>
        </w:rPr>
        <w:t>are</w:t>
      </w:r>
      <w:r w:rsidR="00014BE4">
        <w:rPr>
          <w:strike w:val="0"/>
        </w:rPr>
        <w:t xml:space="preserve"> </w:t>
      </w:r>
      <w:r w:rsidR="002F0976" w:rsidRPr="00014BE4">
        <w:rPr>
          <w:strike w:val="0"/>
        </w:rPr>
        <w:t>available</w:t>
      </w:r>
      <w:r w:rsidR="00014BE4">
        <w:rPr>
          <w:strike w:val="0"/>
        </w:rPr>
        <w:t xml:space="preserve"> within the access </w:t>
      </w:r>
      <w:r w:rsidR="00014BE4" w:rsidRPr="009E2BB2">
        <w:rPr>
          <w:strike w:val="0"/>
        </w:rPr>
        <w:t>standards</w:t>
      </w:r>
      <w:r w:rsidR="002F0976" w:rsidRPr="009E2BB2">
        <w:rPr>
          <w:strike w:val="0"/>
        </w:rPr>
        <w:t xml:space="preserve"> </w:t>
      </w:r>
      <w:r w:rsidR="002B46A5" w:rsidRPr="009E2BB2">
        <w:rPr>
          <w:strike w:val="0"/>
        </w:rPr>
        <w:t xml:space="preserve">and willing </w:t>
      </w:r>
      <w:r w:rsidR="008227D0" w:rsidRPr="009E2BB2">
        <w:rPr>
          <w:strike w:val="0"/>
        </w:rPr>
        <w:t xml:space="preserve">to treat </w:t>
      </w:r>
      <w:r w:rsidR="00B0073D" w:rsidRPr="009E2BB2">
        <w:rPr>
          <w:strike w:val="0"/>
        </w:rPr>
        <w:t xml:space="preserve">injured </w:t>
      </w:r>
      <w:r w:rsidR="009E2BB2">
        <w:rPr>
          <w:strike w:val="0"/>
        </w:rPr>
        <w:t>workers under the</w:t>
      </w:r>
      <w:r w:rsidR="00B0073D" w:rsidRPr="009E2BB2">
        <w:rPr>
          <w:strike w:val="0"/>
        </w:rPr>
        <w:t xml:space="preserve"> California </w:t>
      </w:r>
      <w:r w:rsidR="008227D0" w:rsidRPr="009E2BB2">
        <w:rPr>
          <w:strike w:val="0"/>
        </w:rPr>
        <w:t xml:space="preserve">workers’ compensation </w:t>
      </w:r>
      <w:r w:rsidR="009E2BB2">
        <w:rPr>
          <w:strike w:val="0"/>
        </w:rPr>
        <w:t>system</w:t>
      </w:r>
      <w:r w:rsidR="008261A9" w:rsidRPr="009E2BB2">
        <w:rPr>
          <w:strike w:val="0"/>
        </w:rPr>
        <w:t xml:space="preserve">.   </w:t>
      </w:r>
    </w:p>
    <w:p w:rsidR="008261A9" w:rsidRDefault="008261A9" w:rsidP="00E63BAE">
      <w:pPr>
        <w:overflowPunct w:val="0"/>
        <w:adjustRightInd w:val="0"/>
        <w:textAlignment w:val="baseline"/>
        <w:rPr>
          <w:strike w:val="0"/>
        </w:rPr>
      </w:pPr>
    </w:p>
    <w:p w:rsidR="00807971" w:rsidRPr="00590608" w:rsidRDefault="006037E8" w:rsidP="00BF158E">
      <w:pPr>
        <w:overflowPunct w:val="0"/>
        <w:adjustRightInd w:val="0"/>
        <w:textAlignment w:val="baseline"/>
        <w:rPr>
          <w:i/>
          <w:strike w:val="0"/>
        </w:rPr>
      </w:pPr>
      <w:r>
        <w:rPr>
          <w:strike w:val="0"/>
        </w:rPr>
        <w:tab/>
      </w:r>
      <w:r w:rsidR="00A96CAF" w:rsidRPr="00FC24C4">
        <w:rPr>
          <w:i/>
          <w:strike w:val="0"/>
        </w:rPr>
        <w:t xml:space="preserve">See discussion in </w:t>
      </w:r>
      <w:r w:rsidR="00590608" w:rsidRPr="00FC24C4">
        <w:rPr>
          <w:i/>
          <w:strike w:val="0"/>
        </w:rPr>
        <w:t>(a</w:t>
      </w:r>
      <w:proofErr w:type="gramStart"/>
      <w:r w:rsidR="00590608" w:rsidRPr="00FC24C4">
        <w:rPr>
          <w:i/>
          <w:strike w:val="0"/>
        </w:rPr>
        <w:t>)</w:t>
      </w:r>
      <w:r w:rsidR="00A96CAF" w:rsidRPr="00FC24C4">
        <w:rPr>
          <w:i/>
          <w:strike w:val="0"/>
        </w:rPr>
        <w:t>(</w:t>
      </w:r>
      <w:proofErr w:type="gramEnd"/>
      <w:r w:rsidR="00A96CAF" w:rsidRPr="00FC24C4">
        <w:rPr>
          <w:i/>
          <w:strike w:val="0"/>
        </w:rPr>
        <w:t>2</w:t>
      </w:r>
      <w:r w:rsidR="00590608" w:rsidRPr="00FC24C4">
        <w:rPr>
          <w:i/>
          <w:strike w:val="0"/>
        </w:rPr>
        <w:t>5</w:t>
      </w:r>
      <w:r w:rsidR="00A96CAF" w:rsidRPr="00FC24C4">
        <w:rPr>
          <w:i/>
          <w:strike w:val="0"/>
        </w:rPr>
        <w:t xml:space="preserve">)(C) regarding </w:t>
      </w:r>
      <w:r w:rsidR="00BA6D0D" w:rsidRPr="00FC24C4">
        <w:rPr>
          <w:i/>
          <w:strike w:val="0"/>
        </w:rPr>
        <w:t>type of physician.</w:t>
      </w:r>
      <w:r w:rsidR="00BA6D0D" w:rsidRPr="00590608">
        <w:rPr>
          <w:i/>
          <w:strike w:val="0"/>
        </w:rPr>
        <w:t xml:space="preserve"> </w:t>
      </w:r>
    </w:p>
    <w:p w:rsidR="00D62596" w:rsidRDefault="00D62596" w:rsidP="004D6A19">
      <w:pPr>
        <w:overflowPunct w:val="0"/>
        <w:adjustRightInd w:val="0"/>
        <w:textAlignment w:val="baseline"/>
        <w:rPr>
          <w:strike w:val="0"/>
        </w:rPr>
      </w:pPr>
    </w:p>
    <w:p w:rsidR="004D6A19" w:rsidRDefault="00D62596" w:rsidP="004D6A19">
      <w:pPr>
        <w:overflowPunct w:val="0"/>
        <w:adjustRightInd w:val="0"/>
        <w:textAlignment w:val="baseline"/>
        <w:rPr>
          <w:strike w:val="0"/>
        </w:rPr>
      </w:pPr>
      <w:r>
        <w:rPr>
          <w:strike w:val="0"/>
        </w:rPr>
        <w:t xml:space="preserve"> </w:t>
      </w:r>
      <w:r w:rsidR="004D6A19">
        <w:rPr>
          <w:strike w:val="0"/>
        </w:rPr>
        <w:t>(a)</w:t>
      </w:r>
      <w:r w:rsidR="004D6A19" w:rsidRPr="004D6A19">
        <w:rPr>
          <w:strike w:val="0"/>
        </w:rPr>
        <w:t xml:space="preserve">(16) “Medical Provider Network Medical Access Assistant” means an individual in the United States whose </w:t>
      </w:r>
      <w:r w:rsidRPr="00D62596">
        <w:rPr>
          <w:highlight w:val="yellow"/>
        </w:rPr>
        <w:t>primary</w:t>
      </w:r>
      <w:r>
        <w:rPr>
          <w:strike w:val="0"/>
        </w:rPr>
        <w:t xml:space="preserve"> duty is to assist</w:t>
      </w:r>
      <w:r w:rsidR="004D6A19" w:rsidRPr="004D6A19">
        <w:rPr>
          <w:strike w:val="0"/>
        </w:rPr>
        <w:t xml:space="preserve"> injured workers with finding available Medical Provider Network </w:t>
      </w:r>
      <w:r w:rsidR="001942D9">
        <w:rPr>
          <w:strike w:val="0"/>
        </w:rPr>
        <w:t>physicians</w:t>
      </w:r>
      <w:r w:rsidR="004D6A19" w:rsidRPr="004D6A19">
        <w:rPr>
          <w:strike w:val="0"/>
        </w:rPr>
        <w:t xml:space="preserve"> and with scheduling provider appointments</w:t>
      </w:r>
      <w:r w:rsidR="004D6A19" w:rsidRPr="004D6A19">
        <w:rPr>
          <w:strike w:val="0"/>
          <w:highlight w:val="yellow"/>
          <w:u w:val="single"/>
        </w:rPr>
        <w:t xml:space="preserve">, but </w:t>
      </w:r>
      <w:r w:rsidR="001942D9">
        <w:rPr>
          <w:strike w:val="0"/>
          <w:highlight w:val="yellow"/>
          <w:u w:val="single"/>
        </w:rPr>
        <w:t xml:space="preserve">unless the  assistant is also an adjuster, </w:t>
      </w:r>
      <w:r w:rsidR="00BF158E">
        <w:rPr>
          <w:strike w:val="0"/>
          <w:highlight w:val="yellow"/>
          <w:u w:val="single"/>
        </w:rPr>
        <w:t>may</w:t>
      </w:r>
      <w:r w:rsidR="005F3DBD">
        <w:rPr>
          <w:strike w:val="0"/>
          <w:highlight w:val="yellow"/>
          <w:u w:val="single"/>
        </w:rPr>
        <w:t xml:space="preserve"> not authorize</w:t>
      </w:r>
      <w:r w:rsidR="004D6A19" w:rsidRPr="004D6A19">
        <w:rPr>
          <w:strike w:val="0"/>
          <w:highlight w:val="yellow"/>
          <w:u w:val="single"/>
        </w:rPr>
        <w:t xml:space="preserve"> </w:t>
      </w:r>
      <w:r w:rsidR="001942D9">
        <w:rPr>
          <w:strike w:val="0"/>
          <w:highlight w:val="yellow"/>
          <w:u w:val="single"/>
        </w:rPr>
        <w:t xml:space="preserve">payment of </w:t>
      </w:r>
      <w:r w:rsidR="004D6A19" w:rsidRPr="004D6A19">
        <w:rPr>
          <w:strike w:val="0"/>
          <w:highlight w:val="yellow"/>
          <w:u w:val="single"/>
        </w:rPr>
        <w:t>goods or services</w:t>
      </w:r>
      <w:r w:rsidR="004D6A19" w:rsidRPr="004D6A19">
        <w:rPr>
          <w:strike w:val="0"/>
        </w:rPr>
        <w:t xml:space="preserve">.  </w:t>
      </w:r>
    </w:p>
    <w:p w:rsidR="004D6A19" w:rsidRDefault="004D6A19" w:rsidP="004D6A19">
      <w:pPr>
        <w:overflowPunct w:val="0"/>
        <w:adjustRightInd w:val="0"/>
        <w:textAlignment w:val="baseline"/>
        <w:rPr>
          <w:strike w:val="0"/>
        </w:rPr>
      </w:pPr>
    </w:p>
    <w:p w:rsidR="004D6A19" w:rsidRPr="004D6A19" w:rsidRDefault="00254F18" w:rsidP="004D6A19">
      <w:pPr>
        <w:overflowPunct w:val="0"/>
        <w:adjustRightInd w:val="0"/>
        <w:ind w:left="720"/>
        <w:textAlignment w:val="baseline"/>
        <w:rPr>
          <w:i/>
          <w:strike w:val="0"/>
        </w:rPr>
      </w:pPr>
      <w:r>
        <w:rPr>
          <w:i/>
          <w:strike w:val="0"/>
        </w:rPr>
        <w:t>The recommended modification c</w:t>
      </w:r>
      <w:r w:rsidR="004D6A19">
        <w:rPr>
          <w:i/>
          <w:strike w:val="0"/>
        </w:rPr>
        <w:t>larifi</w:t>
      </w:r>
      <w:r>
        <w:rPr>
          <w:i/>
          <w:strike w:val="0"/>
        </w:rPr>
        <w:t>es that</w:t>
      </w:r>
      <w:r w:rsidR="00706932">
        <w:rPr>
          <w:i/>
          <w:strike w:val="0"/>
        </w:rPr>
        <w:t xml:space="preserve"> </w:t>
      </w:r>
      <w:r>
        <w:rPr>
          <w:i/>
          <w:strike w:val="0"/>
        </w:rPr>
        <w:t xml:space="preserve">a medical access </w:t>
      </w:r>
      <w:r w:rsidR="004D6A19">
        <w:rPr>
          <w:i/>
          <w:strike w:val="0"/>
        </w:rPr>
        <w:t>assistan</w:t>
      </w:r>
      <w:r>
        <w:rPr>
          <w:i/>
          <w:strike w:val="0"/>
        </w:rPr>
        <w:t>t</w:t>
      </w:r>
      <w:r w:rsidR="004D6A19">
        <w:rPr>
          <w:i/>
          <w:strike w:val="0"/>
        </w:rPr>
        <w:t xml:space="preserve"> does not </w:t>
      </w:r>
      <w:r w:rsidR="00706932">
        <w:rPr>
          <w:i/>
          <w:strike w:val="0"/>
        </w:rPr>
        <w:t>authoriz</w:t>
      </w:r>
      <w:r>
        <w:rPr>
          <w:i/>
          <w:strike w:val="0"/>
        </w:rPr>
        <w:t>e payment</w:t>
      </w:r>
      <w:r w:rsidR="00706932">
        <w:rPr>
          <w:i/>
          <w:strike w:val="0"/>
        </w:rPr>
        <w:t xml:space="preserve"> for goods or services.</w:t>
      </w:r>
    </w:p>
    <w:p w:rsidR="008261A9" w:rsidRPr="00832D9E" w:rsidRDefault="004D6A19" w:rsidP="004D6A19">
      <w:pPr>
        <w:overflowPunct w:val="0"/>
        <w:adjustRightInd w:val="0"/>
        <w:spacing w:before="240"/>
        <w:textAlignment w:val="baseline"/>
        <w:rPr>
          <w:strike w:val="0"/>
          <w:highlight w:val="yellow"/>
          <w:u w:val="single"/>
        </w:rPr>
      </w:pPr>
      <w:r>
        <w:rPr>
          <w:strike w:val="0"/>
        </w:rPr>
        <w:t xml:space="preserve"> </w:t>
      </w:r>
      <w:r w:rsidR="00F56582">
        <w:rPr>
          <w:strike w:val="0"/>
        </w:rPr>
        <w:t>(a)</w:t>
      </w:r>
      <w:r w:rsidR="008261A9" w:rsidRPr="00EF29A0">
        <w:rPr>
          <w:strike w:val="0"/>
        </w:rPr>
        <w:t xml:space="preserve">(19) “MPN Applicant” </w:t>
      </w:r>
      <w:r w:rsidR="008261A9" w:rsidRPr="007D0128">
        <w:rPr>
          <w:strike w:val="0"/>
        </w:rPr>
        <w:t xml:space="preserve">means </w:t>
      </w:r>
      <w:r w:rsidR="007D0128" w:rsidRPr="007D0128">
        <w:rPr>
          <w:strike w:val="0"/>
          <w:highlight w:val="yellow"/>
          <w:u w:val="single"/>
        </w:rPr>
        <w:t>a c</w:t>
      </w:r>
      <w:r w:rsidR="007D0128" w:rsidRPr="00F50E44">
        <w:rPr>
          <w:strike w:val="0"/>
          <w:highlight w:val="yellow"/>
          <w:u w:val="single"/>
        </w:rPr>
        <w:t xml:space="preserve">laims administrator </w:t>
      </w:r>
      <w:r w:rsidR="008261A9" w:rsidRPr="007D0128">
        <w:rPr>
          <w:highlight w:val="yellow"/>
        </w:rPr>
        <w:t>a</w:t>
      </w:r>
      <w:r w:rsidR="008261A9" w:rsidRPr="00F50E44">
        <w:rPr>
          <w:highlight w:val="yellow"/>
        </w:rPr>
        <w:t xml:space="preserve">n insurer or employer </w:t>
      </w:r>
      <w:r w:rsidR="008261A9" w:rsidRPr="0028709F">
        <w:rPr>
          <w:strike w:val="0"/>
        </w:rPr>
        <w:t>as defined in subdivision</w:t>
      </w:r>
      <w:r w:rsidR="0028709F">
        <w:rPr>
          <w:strike w:val="0"/>
        </w:rPr>
        <w:t xml:space="preserve"> </w:t>
      </w:r>
      <w:r w:rsidR="0028709F" w:rsidRPr="00376716">
        <w:rPr>
          <w:strike w:val="0"/>
          <w:highlight w:val="yellow"/>
          <w:u w:val="single"/>
        </w:rPr>
        <w:t>(</w:t>
      </w:r>
      <w:r w:rsidR="0028709F" w:rsidRPr="00166C9F">
        <w:rPr>
          <w:strike w:val="0"/>
          <w:highlight w:val="yellow"/>
          <w:u w:val="single"/>
        </w:rPr>
        <w:t>3</w:t>
      </w:r>
      <w:r w:rsidR="00166C9F" w:rsidRPr="00166C9F">
        <w:rPr>
          <w:strike w:val="0"/>
          <w:highlight w:val="yellow"/>
          <w:u w:val="single"/>
        </w:rPr>
        <w:t>6</w:t>
      </w:r>
      <w:r w:rsidR="0028709F" w:rsidRPr="00376716">
        <w:rPr>
          <w:strike w:val="0"/>
          <w:highlight w:val="yellow"/>
          <w:u w:val="single"/>
        </w:rPr>
        <w:t>)</w:t>
      </w:r>
      <w:r w:rsidR="008261A9" w:rsidRPr="00F50E44">
        <w:rPr>
          <w:highlight w:val="yellow"/>
        </w:rPr>
        <w:t>s (6) and (13) of this section</w:t>
      </w:r>
      <w:r w:rsidR="008261A9" w:rsidRPr="0028709F">
        <w:rPr>
          <w:strike w:val="0"/>
        </w:rPr>
        <w:t xml:space="preserve">, </w:t>
      </w:r>
      <w:r w:rsidR="008261A9" w:rsidRPr="00EF29A0">
        <w:rPr>
          <w:strike w:val="0"/>
        </w:rPr>
        <w:t xml:space="preserve">or an entity that provides physician network </w:t>
      </w:r>
      <w:r w:rsidR="008261A9" w:rsidRPr="00870B22">
        <w:rPr>
          <w:strike w:val="0"/>
        </w:rPr>
        <w:t>services</w:t>
      </w:r>
      <w:r w:rsidR="00F343FD" w:rsidRPr="00870B22">
        <w:rPr>
          <w:strike w:val="0"/>
        </w:rPr>
        <w:t xml:space="preserve"> as defined in subdivision (7)</w:t>
      </w:r>
      <w:r w:rsidR="008665F6" w:rsidRPr="008665F6">
        <w:rPr>
          <w:strike w:val="0"/>
          <w:highlight w:val="yellow"/>
          <w:u w:val="single"/>
        </w:rPr>
        <w:t>,</w:t>
      </w:r>
      <w:r w:rsidR="008665F6" w:rsidRPr="00004FCF">
        <w:rPr>
          <w:highlight w:val="yellow"/>
        </w:rPr>
        <w:t>who</w:t>
      </w:r>
      <w:r w:rsidR="008665F6" w:rsidRPr="00004FCF">
        <w:rPr>
          <w:strike w:val="0"/>
          <w:highlight w:val="yellow"/>
        </w:rPr>
        <w:t xml:space="preserve"> </w:t>
      </w:r>
      <w:r w:rsidR="00004FCF" w:rsidRPr="00004FCF">
        <w:rPr>
          <w:strike w:val="0"/>
          <w:highlight w:val="yellow"/>
          <w:u w:val="single"/>
        </w:rPr>
        <w:t>that</w:t>
      </w:r>
      <w:r w:rsidR="00004FCF">
        <w:rPr>
          <w:strike w:val="0"/>
          <w:u w:val="single"/>
        </w:rPr>
        <w:t xml:space="preserve"> </w:t>
      </w:r>
      <w:r w:rsidR="008665F6">
        <w:rPr>
          <w:strike w:val="0"/>
        </w:rPr>
        <w:t xml:space="preserve">is </w:t>
      </w:r>
      <w:r w:rsidR="008665F6" w:rsidRPr="009F7ED5">
        <w:rPr>
          <w:highlight w:val="yellow"/>
        </w:rPr>
        <w:t>legally</w:t>
      </w:r>
      <w:r w:rsidR="008665F6">
        <w:rPr>
          <w:strike w:val="0"/>
        </w:rPr>
        <w:t xml:space="preserve"> responsible for the Medical Provider Network</w:t>
      </w:r>
      <w:r w:rsidR="00CA0D2B">
        <w:rPr>
          <w:strike w:val="0"/>
        </w:rPr>
        <w:t>.</w:t>
      </w:r>
      <w:r w:rsidR="00376716" w:rsidRPr="00F50E44">
        <w:rPr>
          <w:strike w:val="0"/>
          <w:highlight w:val="yellow"/>
          <w:u w:val="single"/>
        </w:rPr>
        <w:t xml:space="preserve">  </w:t>
      </w:r>
    </w:p>
    <w:p w:rsidR="008D28C3" w:rsidRDefault="00F83431" w:rsidP="008D28C3">
      <w:pPr>
        <w:overflowPunct w:val="0"/>
        <w:adjustRightInd w:val="0"/>
        <w:spacing w:before="240"/>
        <w:ind w:left="720"/>
        <w:textAlignment w:val="baseline"/>
        <w:rPr>
          <w:i/>
          <w:strike w:val="0"/>
        </w:rPr>
      </w:pPr>
      <w:r w:rsidRPr="00F83431">
        <w:rPr>
          <w:i/>
          <w:strike w:val="0"/>
        </w:rPr>
        <w:t>Th</w:t>
      </w:r>
      <w:r w:rsidR="008D28C3">
        <w:rPr>
          <w:i/>
          <w:strike w:val="0"/>
        </w:rPr>
        <w:t>is</w:t>
      </w:r>
      <w:r w:rsidRPr="00F83431">
        <w:rPr>
          <w:i/>
          <w:strike w:val="0"/>
        </w:rPr>
        <w:t xml:space="preserve"> proposed </w:t>
      </w:r>
      <w:r w:rsidR="007D0128">
        <w:rPr>
          <w:i/>
          <w:strike w:val="0"/>
        </w:rPr>
        <w:t>change</w:t>
      </w:r>
      <w:r w:rsidR="005F6C87" w:rsidRPr="00F83431">
        <w:rPr>
          <w:i/>
          <w:strike w:val="0"/>
        </w:rPr>
        <w:t xml:space="preserve"> </w:t>
      </w:r>
      <w:r w:rsidR="008D28C3">
        <w:rPr>
          <w:i/>
          <w:strike w:val="0"/>
        </w:rPr>
        <w:t>together with the recommended addition of (a</w:t>
      </w:r>
      <w:proofErr w:type="gramStart"/>
      <w:r w:rsidR="008D28C3">
        <w:rPr>
          <w:i/>
          <w:strike w:val="0"/>
        </w:rPr>
        <w:t>)(</w:t>
      </w:r>
      <w:proofErr w:type="gramEnd"/>
      <w:r w:rsidR="008D28C3">
        <w:rPr>
          <w:i/>
          <w:strike w:val="0"/>
        </w:rPr>
        <w:t xml:space="preserve">36) </w:t>
      </w:r>
      <w:r w:rsidR="005F6C87">
        <w:rPr>
          <w:i/>
          <w:strike w:val="0"/>
        </w:rPr>
        <w:t xml:space="preserve">will allow a </w:t>
      </w:r>
      <w:r w:rsidR="00A13139">
        <w:rPr>
          <w:i/>
          <w:strike w:val="0"/>
        </w:rPr>
        <w:t>third party administrator (</w:t>
      </w:r>
      <w:r w:rsidR="005F6C87">
        <w:rPr>
          <w:i/>
          <w:strike w:val="0"/>
        </w:rPr>
        <w:t>TPA</w:t>
      </w:r>
      <w:r w:rsidR="00A13139">
        <w:rPr>
          <w:i/>
          <w:strike w:val="0"/>
        </w:rPr>
        <w:t>)</w:t>
      </w:r>
      <w:r w:rsidR="005F6C87">
        <w:rPr>
          <w:i/>
          <w:strike w:val="0"/>
        </w:rPr>
        <w:t xml:space="preserve"> to submit an application for </w:t>
      </w:r>
      <w:r w:rsidR="00D64F7C">
        <w:rPr>
          <w:i/>
          <w:strike w:val="0"/>
        </w:rPr>
        <w:t>an</w:t>
      </w:r>
      <w:r w:rsidR="005F6C87">
        <w:rPr>
          <w:i/>
          <w:strike w:val="0"/>
        </w:rPr>
        <w:t xml:space="preserve"> MPN that can be used by its clients. This will eliminate unnecessary duplicate filings by </w:t>
      </w:r>
      <w:r w:rsidR="00A13139">
        <w:rPr>
          <w:i/>
          <w:strike w:val="0"/>
        </w:rPr>
        <w:t xml:space="preserve">the </w:t>
      </w:r>
      <w:r w:rsidR="005F6C87">
        <w:rPr>
          <w:i/>
          <w:strike w:val="0"/>
        </w:rPr>
        <w:t>clients of TPAs</w:t>
      </w:r>
      <w:r w:rsidR="005F6C87" w:rsidRPr="00F83431">
        <w:rPr>
          <w:i/>
          <w:strike w:val="0"/>
        </w:rPr>
        <w:t>.</w:t>
      </w:r>
      <w:r w:rsidR="005F6C87">
        <w:rPr>
          <w:i/>
          <w:strike w:val="0"/>
        </w:rPr>
        <w:t xml:space="preserve">  </w:t>
      </w:r>
      <w:r w:rsidR="008D28C3">
        <w:rPr>
          <w:i/>
          <w:strike w:val="0"/>
        </w:rPr>
        <w:t>See also comment on the recommended addition of (a</w:t>
      </w:r>
      <w:proofErr w:type="gramStart"/>
      <w:r w:rsidR="008D28C3">
        <w:rPr>
          <w:i/>
          <w:strike w:val="0"/>
        </w:rPr>
        <w:t>)(</w:t>
      </w:r>
      <w:proofErr w:type="gramEnd"/>
      <w:r w:rsidR="008D28C3">
        <w:rPr>
          <w:i/>
          <w:strike w:val="0"/>
        </w:rPr>
        <w:t xml:space="preserve">36).  </w:t>
      </w:r>
    </w:p>
    <w:p w:rsidR="009F7ED5" w:rsidRPr="009F7ED5" w:rsidRDefault="009F7ED5" w:rsidP="009F7ED5">
      <w:pPr>
        <w:overflowPunct w:val="0"/>
        <w:adjustRightInd w:val="0"/>
        <w:spacing w:before="240"/>
        <w:ind w:left="720"/>
        <w:textAlignment w:val="baseline"/>
        <w:rPr>
          <w:i/>
          <w:strike w:val="0"/>
        </w:rPr>
      </w:pPr>
      <w:r w:rsidRPr="009F7ED5">
        <w:rPr>
          <w:i/>
          <w:strike w:val="0"/>
        </w:rPr>
        <w:t>The term “legal</w:t>
      </w:r>
      <w:r>
        <w:rPr>
          <w:i/>
          <w:strike w:val="0"/>
        </w:rPr>
        <w:t>ly</w:t>
      </w:r>
      <w:r w:rsidRPr="009F7ED5">
        <w:rPr>
          <w:i/>
          <w:strike w:val="0"/>
        </w:rPr>
        <w:t xml:space="preserve">” is </w:t>
      </w:r>
      <w:r>
        <w:rPr>
          <w:i/>
          <w:strike w:val="0"/>
        </w:rPr>
        <w:t xml:space="preserve">unnecessary and </w:t>
      </w:r>
      <w:r w:rsidRPr="009F7ED5">
        <w:rPr>
          <w:i/>
          <w:strike w:val="0"/>
        </w:rPr>
        <w:t>unclear</w:t>
      </w:r>
      <w:r>
        <w:rPr>
          <w:i/>
          <w:strike w:val="0"/>
        </w:rPr>
        <w:t>.  It</w:t>
      </w:r>
      <w:r w:rsidRPr="009F7ED5">
        <w:rPr>
          <w:i/>
          <w:strike w:val="0"/>
        </w:rPr>
        <w:t xml:space="preserve"> should be struck or defined. </w:t>
      </w:r>
    </w:p>
    <w:p w:rsidR="008261A9" w:rsidRPr="00EF29A0" w:rsidRDefault="008261A9" w:rsidP="00E63BAE">
      <w:pPr>
        <w:overflowPunct w:val="0"/>
        <w:adjustRightInd w:val="0"/>
        <w:textAlignment w:val="baseline"/>
        <w:rPr>
          <w:strike w:val="0"/>
          <w:u w:val="single"/>
        </w:rPr>
      </w:pPr>
    </w:p>
    <w:p w:rsidR="008261A9" w:rsidRPr="00EF29A0" w:rsidRDefault="00F56582" w:rsidP="00E63BAE">
      <w:pPr>
        <w:overflowPunct w:val="0"/>
        <w:adjustRightInd w:val="0"/>
        <w:textAlignment w:val="baseline"/>
        <w:rPr>
          <w:strike w:val="0"/>
        </w:rPr>
      </w:pPr>
      <w:r>
        <w:rPr>
          <w:strike w:val="0"/>
        </w:rPr>
        <w:t>(a)</w:t>
      </w:r>
      <w:r w:rsidRPr="00EF29A0">
        <w:rPr>
          <w:strike w:val="0"/>
        </w:rPr>
        <w:t>(2</w:t>
      </w:r>
      <w:r>
        <w:rPr>
          <w:strike w:val="0"/>
        </w:rPr>
        <w:t>5</w:t>
      </w:r>
      <w:r w:rsidRPr="00EF29A0">
        <w:rPr>
          <w:strike w:val="0"/>
        </w:rPr>
        <w:t>)</w:t>
      </w:r>
      <w:r>
        <w:rPr>
          <w:strike w:val="0"/>
        </w:rPr>
        <w:t>(</w:t>
      </w:r>
      <w:r w:rsidR="008261A9" w:rsidRPr="00EF29A0">
        <w:rPr>
          <w:strike w:val="0"/>
        </w:rPr>
        <w:t xml:space="preserve">C) If the listing described in either (A) or (B) does not provide </w:t>
      </w:r>
      <w:r w:rsidR="008261A9" w:rsidRPr="0087517E">
        <w:rPr>
          <w:highlight w:val="yellow"/>
        </w:rPr>
        <w:t>a minimum of three</w:t>
      </w:r>
      <w:r w:rsidR="008261A9" w:rsidRPr="00EF29A0">
        <w:rPr>
          <w:strike w:val="0"/>
        </w:rPr>
        <w:t xml:space="preserve"> physicians of each </w:t>
      </w:r>
      <w:r w:rsidR="008261A9" w:rsidRPr="00870B22">
        <w:rPr>
          <w:highlight w:val="yellow"/>
        </w:rPr>
        <w:t>specialty</w:t>
      </w:r>
      <w:r w:rsidR="008261A9" w:rsidRPr="00870B22">
        <w:rPr>
          <w:strike w:val="0"/>
          <w:highlight w:val="yellow"/>
          <w:u w:val="single"/>
        </w:rPr>
        <w:t xml:space="preserve"> type</w:t>
      </w:r>
      <w:r w:rsidR="008261A9" w:rsidRPr="00EF29A0">
        <w:rPr>
          <w:strike w:val="0"/>
        </w:rPr>
        <w:t xml:space="preserve">, </w:t>
      </w:r>
      <w:proofErr w:type="gramStart"/>
      <w:r w:rsidR="008261A9" w:rsidRPr="00EF29A0">
        <w:rPr>
          <w:strike w:val="0"/>
        </w:rPr>
        <w:t>then</w:t>
      </w:r>
      <w:proofErr w:type="gramEnd"/>
      <w:r w:rsidR="008261A9" w:rsidRPr="00EF29A0">
        <w:rPr>
          <w:strike w:val="0"/>
        </w:rPr>
        <w:t xml:space="preserve"> the listing shall be expanded by adjacent counties or by 5-mile increments until the minimum number of physicians per </w:t>
      </w:r>
      <w:r w:rsidR="008261A9" w:rsidRPr="00EF29A0">
        <w:rPr>
          <w:highlight w:val="yellow"/>
        </w:rPr>
        <w:t>specialty</w:t>
      </w:r>
      <w:r w:rsidR="008261A9" w:rsidRPr="00EF29A0">
        <w:rPr>
          <w:strike w:val="0"/>
          <w:u w:val="single"/>
        </w:rPr>
        <w:t xml:space="preserve"> </w:t>
      </w:r>
      <w:r w:rsidR="008261A9" w:rsidRPr="00EF29A0">
        <w:rPr>
          <w:strike w:val="0"/>
          <w:highlight w:val="yellow"/>
          <w:u w:val="single"/>
        </w:rPr>
        <w:t>type</w:t>
      </w:r>
      <w:r w:rsidR="008261A9" w:rsidRPr="00EF29A0">
        <w:rPr>
          <w:strike w:val="0"/>
        </w:rPr>
        <w:t xml:space="preserve"> are met. </w:t>
      </w:r>
    </w:p>
    <w:p w:rsidR="008261A9" w:rsidRPr="00EF29A0" w:rsidRDefault="008261A9" w:rsidP="00E63BAE">
      <w:pPr>
        <w:overflowPunct w:val="0"/>
        <w:adjustRightInd w:val="0"/>
        <w:textAlignment w:val="baseline"/>
        <w:rPr>
          <w:strike w:val="0"/>
          <w:sz w:val="12"/>
        </w:rPr>
      </w:pPr>
    </w:p>
    <w:p w:rsidR="008261A9" w:rsidRPr="00EF29A0" w:rsidRDefault="008261A9" w:rsidP="00E63BAE">
      <w:pPr>
        <w:overflowPunct w:val="0"/>
        <w:adjustRightInd w:val="0"/>
        <w:ind w:left="720"/>
        <w:textAlignment w:val="baseline"/>
        <w:rPr>
          <w:i/>
          <w:strike w:val="0"/>
        </w:rPr>
      </w:pPr>
      <w:r w:rsidRPr="00EF29A0">
        <w:rPr>
          <w:i/>
          <w:strike w:val="0"/>
        </w:rPr>
        <w:t>Labor Code section 4616(a</w:t>
      </w:r>
      <w:proofErr w:type="gramStart"/>
      <w:r w:rsidRPr="00EF29A0">
        <w:rPr>
          <w:i/>
          <w:strike w:val="0"/>
        </w:rPr>
        <w:t>)(</w:t>
      </w:r>
      <w:proofErr w:type="gramEnd"/>
      <w:r w:rsidRPr="00EF29A0">
        <w:rPr>
          <w:i/>
          <w:strike w:val="0"/>
        </w:rPr>
        <w:t>1) states:</w:t>
      </w:r>
    </w:p>
    <w:p w:rsidR="008261A9" w:rsidRPr="00EF29A0" w:rsidRDefault="008261A9" w:rsidP="00E63BAE">
      <w:pPr>
        <w:overflowPunct w:val="0"/>
        <w:adjustRightInd w:val="0"/>
        <w:ind w:left="1440"/>
        <w:textAlignment w:val="baseline"/>
        <w:rPr>
          <w:i/>
          <w:strike w:val="0"/>
        </w:rPr>
      </w:pPr>
      <w:r w:rsidRPr="00EF29A0">
        <w:rPr>
          <w:i/>
          <w:strike w:val="0"/>
        </w:rPr>
        <w:t xml:space="preserve"> “… The provider network shall include an adequate number and type of physicians, as described in Section 3209.3, or other providers, as described in Section 3209.5, to treat common injuries experienced by injured employees based on the type of occupation or industry in which the employee is engaged, and the geographic area where the employees are employed.”</w:t>
      </w:r>
    </w:p>
    <w:p w:rsidR="008261A9" w:rsidRDefault="008261A9" w:rsidP="00E63BAE">
      <w:pPr>
        <w:overflowPunct w:val="0"/>
        <w:adjustRightInd w:val="0"/>
        <w:ind w:left="1440"/>
        <w:textAlignment w:val="baseline"/>
        <w:rPr>
          <w:i/>
          <w:strike w:val="0"/>
          <w:sz w:val="12"/>
        </w:rPr>
      </w:pPr>
    </w:p>
    <w:p w:rsidR="00440C24" w:rsidRDefault="00440C24" w:rsidP="00E63BAE">
      <w:pPr>
        <w:overflowPunct w:val="0"/>
        <w:adjustRightInd w:val="0"/>
        <w:ind w:left="1440"/>
        <w:textAlignment w:val="baseline"/>
        <w:rPr>
          <w:i/>
          <w:strike w:val="0"/>
          <w:sz w:val="12"/>
        </w:rPr>
      </w:pPr>
    </w:p>
    <w:p w:rsidR="00440C24" w:rsidRDefault="00440C24" w:rsidP="00E63BAE">
      <w:pPr>
        <w:overflowPunct w:val="0"/>
        <w:adjustRightInd w:val="0"/>
        <w:ind w:left="1440"/>
        <w:textAlignment w:val="baseline"/>
        <w:rPr>
          <w:i/>
          <w:strike w:val="0"/>
          <w:sz w:val="12"/>
        </w:rPr>
      </w:pPr>
    </w:p>
    <w:p w:rsidR="00440C24" w:rsidRDefault="00440C24" w:rsidP="00E63BAE">
      <w:pPr>
        <w:overflowPunct w:val="0"/>
        <w:adjustRightInd w:val="0"/>
        <w:ind w:left="1440"/>
        <w:textAlignment w:val="baseline"/>
        <w:rPr>
          <w:i/>
          <w:strike w:val="0"/>
          <w:sz w:val="12"/>
        </w:rPr>
      </w:pPr>
    </w:p>
    <w:p w:rsidR="00440C24" w:rsidRDefault="00440C24" w:rsidP="00E63BAE">
      <w:pPr>
        <w:overflowPunct w:val="0"/>
        <w:adjustRightInd w:val="0"/>
        <w:ind w:left="1440"/>
        <w:textAlignment w:val="baseline"/>
        <w:rPr>
          <w:i/>
          <w:strike w:val="0"/>
          <w:sz w:val="12"/>
        </w:rPr>
      </w:pPr>
    </w:p>
    <w:p w:rsidR="00440C24" w:rsidRPr="00EF29A0" w:rsidRDefault="00440C24" w:rsidP="00E63BAE">
      <w:pPr>
        <w:overflowPunct w:val="0"/>
        <w:adjustRightInd w:val="0"/>
        <w:ind w:left="1440"/>
        <w:textAlignment w:val="baseline"/>
        <w:rPr>
          <w:i/>
          <w:strike w:val="0"/>
          <w:sz w:val="12"/>
        </w:rPr>
      </w:pPr>
    </w:p>
    <w:p w:rsidR="002A5973" w:rsidRPr="00FA53AA" w:rsidRDefault="007A3CC8" w:rsidP="00E63BAE">
      <w:pPr>
        <w:overflowPunct w:val="0"/>
        <w:adjustRightInd w:val="0"/>
        <w:ind w:left="720"/>
        <w:textAlignment w:val="baseline"/>
        <w:rPr>
          <w:i/>
          <w:strike w:val="0"/>
        </w:rPr>
      </w:pPr>
      <w:r w:rsidRPr="00F06923">
        <w:rPr>
          <w:i/>
          <w:strike w:val="0"/>
          <w:u w:val="single"/>
        </w:rPr>
        <w:lastRenderedPageBreak/>
        <w:t>The most common California workers’ compensation injuries</w:t>
      </w:r>
      <w:r>
        <w:rPr>
          <w:i/>
          <w:strike w:val="0"/>
        </w:rPr>
        <w:t xml:space="preserve"> </w:t>
      </w:r>
      <w:r w:rsidR="009262D0">
        <w:rPr>
          <w:i/>
          <w:strike w:val="0"/>
        </w:rPr>
        <w:t xml:space="preserve">in 2010, 2011 and 2012 </w:t>
      </w:r>
      <w:r w:rsidR="0039515B">
        <w:rPr>
          <w:i/>
          <w:strike w:val="0"/>
        </w:rPr>
        <w:t xml:space="preserve">identified </w:t>
      </w:r>
      <w:r w:rsidR="00FC5388">
        <w:rPr>
          <w:i/>
          <w:strike w:val="0"/>
        </w:rPr>
        <w:t xml:space="preserve">in CWCI’s ICIS database </w:t>
      </w:r>
      <w:r w:rsidR="00F06923">
        <w:rPr>
          <w:i/>
          <w:strike w:val="0"/>
        </w:rPr>
        <w:t xml:space="preserve">are listed in Table A </w:t>
      </w:r>
      <w:r w:rsidR="00FC5388">
        <w:rPr>
          <w:i/>
          <w:strike w:val="0"/>
        </w:rPr>
        <w:t>in order of frequency</w:t>
      </w:r>
      <w:r w:rsidRPr="007C2656">
        <w:rPr>
          <w:i/>
          <w:strike w:val="0"/>
        </w:rPr>
        <w:t>.</w:t>
      </w:r>
      <w:r w:rsidR="007C2656" w:rsidRPr="007C2656">
        <w:rPr>
          <w:i/>
          <w:strike w:val="0"/>
        </w:rPr>
        <w:t xml:space="preserve"> </w:t>
      </w:r>
      <w:r w:rsidR="00D84496" w:rsidRPr="007C2656">
        <w:rPr>
          <w:i/>
          <w:strike w:val="0"/>
        </w:rPr>
        <w:t xml:space="preserve"> </w:t>
      </w:r>
      <w:r w:rsidR="00067C2C" w:rsidRPr="007C2656">
        <w:rPr>
          <w:i/>
          <w:strike w:val="0"/>
        </w:rPr>
        <w:t xml:space="preserve">Labor Code section 4616(a) requires an adequate number and type of physician to treat common injuries.  </w:t>
      </w:r>
      <w:r w:rsidR="002A5973" w:rsidRPr="007C2656">
        <w:rPr>
          <w:i/>
          <w:strike w:val="0"/>
        </w:rPr>
        <w:t>The list of common injures in Table A is relevant for most MPNs including those used by insurers that provide statewide homogenous coverage.</w:t>
      </w:r>
      <w:r w:rsidR="002A5973">
        <w:rPr>
          <w:i/>
          <w:strike w:val="0"/>
        </w:rPr>
        <w:t xml:space="preserve">  </w:t>
      </w:r>
    </w:p>
    <w:p w:rsidR="00067C2C" w:rsidRDefault="00067C2C" w:rsidP="00E63BAE">
      <w:pPr>
        <w:overflowPunct w:val="0"/>
        <w:adjustRightInd w:val="0"/>
        <w:ind w:left="720"/>
        <w:textAlignment w:val="baseline"/>
        <w:rPr>
          <w:i/>
          <w:strike w:val="0"/>
        </w:rPr>
      </w:pPr>
    </w:p>
    <w:p w:rsidR="00DB56FD" w:rsidRPr="00CB31CC" w:rsidRDefault="00BF3775" w:rsidP="00E63BAE">
      <w:pPr>
        <w:overflowPunct w:val="0"/>
        <w:adjustRightInd w:val="0"/>
        <w:ind w:left="720"/>
        <w:textAlignment w:val="baseline"/>
        <w:rPr>
          <w:b/>
          <w:strike w:val="0"/>
        </w:rPr>
      </w:pPr>
      <w:r w:rsidRPr="00CB31CC">
        <w:rPr>
          <w:b/>
          <w:strike w:val="0"/>
        </w:rPr>
        <w:t xml:space="preserve">Table A – Common </w:t>
      </w:r>
      <w:r w:rsidR="00CB31CC">
        <w:rPr>
          <w:b/>
          <w:strike w:val="0"/>
        </w:rPr>
        <w:t xml:space="preserve">California </w:t>
      </w:r>
      <w:r w:rsidRPr="00CB31CC">
        <w:rPr>
          <w:b/>
          <w:strike w:val="0"/>
        </w:rPr>
        <w:t>Workers’ Compensation Injuries by Frequency</w:t>
      </w:r>
    </w:p>
    <w:tbl>
      <w:tblPr>
        <w:tblStyle w:val="TableGrid"/>
        <w:tblW w:w="0" w:type="auto"/>
        <w:tblInd w:w="468" w:type="dxa"/>
        <w:tblLook w:val="04A0" w:firstRow="1" w:lastRow="0" w:firstColumn="1" w:lastColumn="0" w:noHBand="0" w:noVBand="1"/>
      </w:tblPr>
      <w:tblGrid>
        <w:gridCol w:w="5330"/>
        <w:gridCol w:w="836"/>
        <w:gridCol w:w="836"/>
        <w:gridCol w:w="836"/>
        <w:gridCol w:w="1270"/>
      </w:tblGrid>
      <w:tr w:rsidR="00CB31CC" w:rsidRPr="00CB31CC" w:rsidTr="00F06923">
        <w:tc>
          <w:tcPr>
            <w:tcW w:w="5330" w:type="dxa"/>
          </w:tcPr>
          <w:p w:rsidR="000772C1" w:rsidRPr="00CB31CC" w:rsidRDefault="00DB56FD" w:rsidP="009B2602">
            <w:pPr>
              <w:overflowPunct w:val="0"/>
              <w:adjustRightInd w:val="0"/>
              <w:jc w:val="center"/>
              <w:textAlignment w:val="baseline"/>
              <w:rPr>
                <w:b/>
                <w:strike w:val="0"/>
              </w:rPr>
            </w:pPr>
            <w:r w:rsidRPr="00CB31CC">
              <w:rPr>
                <w:b/>
                <w:strike w:val="0"/>
              </w:rPr>
              <w:t xml:space="preserve">Common WC </w:t>
            </w:r>
            <w:r w:rsidR="00CB31CC" w:rsidRPr="00CB31CC">
              <w:rPr>
                <w:b/>
                <w:strike w:val="0"/>
              </w:rPr>
              <w:t>i</w:t>
            </w:r>
            <w:r w:rsidRPr="00CB31CC">
              <w:rPr>
                <w:b/>
                <w:strike w:val="0"/>
              </w:rPr>
              <w:t>njuries</w:t>
            </w:r>
          </w:p>
        </w:tc>
        <w:tc>
          <w:tcPr>
            <w:tcW w:w="836" w:type="dxa"/>
          </w:tcPr>
          <w:p w:rsidR="000772C1" w:rsidRPr="00CB31CC" w:rsidRDefault="00DB56FD" w:rsidP="009B2602">
            <w:pPr>
              <w:overflowPunct w:val="0"/>
              <w:adjustRightInd w:val="0"/>
              <w:jc w:val="center"/>
              <w:textAlignment w:val="baseline"/>
              <w:rPr>
                <w:b/>
                <w:strike w:val="0"/>
              </w:rPr>
            </w:pPr>
            <w:r w:rsidRPr="00CB31CC">
              <w:rPr>
                <w:b/>
                <w:strike w:val="0"/>
              </w:rPr>
              <w:t>2010</w:t>
            </w:r>
          </w:p>
        </w:tc>
        <w:tc>
          <w:tcPr>
            <w:tcW w:w="836" w:type="dxa"/>
          </w:tcPr>
          <w:p w:rsidR="000772C1" w:rsidRPr="00CB31CC" w:rsidRDefault="00DB56FD" w:rsidP="009B2602">
            <w:pPr>
              <w:overflowPunct w:val="0"/>
              <w:adjustRightInd w:val="0"/>
              <w:jc w:val="center"/>
              <w:textAlignment w:val="baseline"/>
              <w:rPr>
                <w:b/>
                <w:strike w:val="0"/>
              </w:rPr>
            </w:pPr>
            <w:r w:rsidRPr="00CB31CC">
              <w:rPr>
                <w:b/>
                <w:strike w:val="0"/>
              </w:rPr>
              <w:t>2011</w:t>
            </w:r>
          </w:p>
        </w:tc>
        <w:tc>
          <w:tcPr>
            <w:tcW w:w="836" w:type="dxa"/>
          </w:tcPr>
          <w:p w:rsidR="000772C1" w:rsidRPr="00CB31CC" w:rsidRDefault="00DB56FD" w:rsidP="009B2602">
            <w:pPr>
              <w:overflowPunct w:val="0"/>
              <w:adjustRightInd w:val="0"/>
              <w:jc w:val="center"/>
              <w:textAlignment w:val="baseline"/>
              <w:rPr>
                <w:b/>
                <w:strike w:val="0"/>
              </w:rPr>
            </w:pPr>
            <w:r w:rsidRPr="00CB31CC">
              <w:rPr>
                <w:b/>
                <w:strike w:val="0"/>
              </w:rPr>
              <w:t>2012</w:t>
            </w:r>
          </w:p>
        </w:tc>
        <w:tc>
          <w:tcPr>
            <w:tcW w:w="1270" w:type="dxa"/>
          </w:tcPr>
          <w:p w:rsidR="000772C1" w:rsidRPr="00CB31CC" w:rsidRDefault="00DB56FD" w:rsidP="009B2602">
            <w:pPr>
              <w:overflowPunct w:val="0"/>
              <w:adjustRightInd w:val="0"/>
              <w:jc w:val="center"/>
              <w:textAlignment w:val="baseline"/>
              <w:rPr>
                <w:b/>
                <w:strike w:val="0"/>
              </w:rPr>
            </w:pPr>
            <w:r w:rsidRPr="00CB31CC">
              <w:rPr>
                <w:b/>
                <w:strike w:val="0"/>
              </w:rPr>
              <w:t>2010-2012</w:t>
            </w:r>
          </w:p>
        </w:tc>
      </w:tr>
      <w:tr w:rsidR="00CB31CC" w:rsidRPr="00DB56FD" w:rsidTr="00F06923">
        <w:tc>
          <w:tcPr>
            <w:tcW w:w="5330" w:type="dxa"/>
          </w:tcPr>
          <w:p w:rsidR="000772C1" w:rsidRPr="00DB56FD" w:rsidRDefault="00BF3775" w:rsidP="00E63BAE">
            <w:pPr>
              <w:overflowPunct w:val="0"/>
              <w:adjustRightInd w:val="0"/>
              <w:textAlignment w:val="baseline"/>
              <w:rPr>
                <w:strike w:val="0"/>
              </w:rPr>
            </w:pPr>
            <w:r>
              <w:rPr>
                <w:strike w:val="0"/>
              </w:rPr>
              <w:t xml:space="preserve">Minor </w:t>
            </w:r>
            <w:r w:rsidR="00CB31CC">
              <w:rPr>
                <w:strike w:val="0"/>
              </w:rPr>
              <w:t>w</w:t>
            </w:r>
            <w:r>
              <w:rPr>
                <w:strike w:val="0"/>
              </w:rPr>
              <w:t xml:space="preserve">ounds &amp; </w:t>
            </w:r>
            <w:r w:rsidR="00CB31CC">
              <w:rPr>
                <w:strike w:val="0"/>
              </w:rPr>
              <w:t>i</w:t>
            </w:r>
            <w:r>
              <w:rPr>
                <w:strike w:val="0"/>
              </w:rPr>
              <w:t>njuries</w:t>
            </w:r>
          </w:p>
        </w:tc>
        <w:tc>
          <w:tcPr>
            <w:tcW w:w="836" w:type="dxa"/>
          </w:tcPr>
          <w:p w:rsidR="000772C1" w:rsidRPr="00DB56FD" w:rsidRDefault="002D0EF8" w:rsidP="009B2602">
            <w:pPr>
              <w:overflowPunct w:val="0"/>
              <w:adjustRightInd w:val="0"/>
              <w:jc w:val="center"/>
              <w:textAlignment w:val="baseline"/>
              <w:rPr>
                <w:strike w:val="0"/>
              </w:rPr>
            </w:pPr>
            <w:r>
              <w:rPr>
                <w:strike w:val="0"/>
              </w:rPr>
              <w:t>21.1%</w:t>
            </w:r>
          </w:p>
        </w:tc>
        <w:tc>
          <w:tcPr>
            <w:tcW w:w="836" w:type="dxa"/>
          </w:tcPr>
          <w:p w:rsidR="000772C1" w:rsidRPr="00DB56FD" w:rsidRDefault="00C052C6" w:rsidP="009B2602">
            <w:pPr>
              <w:overflowPunct w:val="0"/>
              <w:adjustRightInd w:val="0"/>
              <w:jc w:val="center"/>
              <w:textAlignment w:val="baseline"/>
              <w:rPr>
                <w:strike w:val="0"/>
              </w:rPr>
            </w:pPr>
            <w:r>
              <w:rPr>
                <w:strike w:val="0"/>
              </w:rPr>
              <w:t>21.7%</w:t>
            </w:r>
          </w:p>
        </w:tc>
        <w:tc>
          <w:tcPr>
            <w:tcW w:w="836" w:type="dxa"/>
          </w:tcPr>
          <w:p w:rsidR="000772C1" w:rsidRPr="00DB56FD" w:rsidRDefault="00B808AD" w:rsidP="009B2602">
            <w:pPr>
              <w:overflowPunct w:val="0"/>
              <w:adjustRightInd w:val="0"/>
              <w:jc w:val="center"/>
              <w:textAlignment w:val="baseline"/>
              <w:rPr>
                <w:strike w:val="0"/>
              </w:rPr>
            </w:pPr>
            <w:r>
              <w:rPr>
                <w:strike w:val="0"/>
              </w:rPr>
              <w:t>21.6%</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21.4%</w:t>
            </w:r>
          </w:p>
        </w:tc>
      </w:tr>
      <w:tr w:rsidR="00CB31CC" w:rsidRPr="00DB56FD" w:rsidTr="00F06923">
        <w:tc>
          <w:tcPr>
            <w:tcW w:w="5330" w:type="dxa"/>
          </w:tcPr>
          <w:p w:rsidR="000772C1" w:rsidRPr="00DB56FD" w:rsidRDefault="00BF3775" w:rsidP="00E63BAE">
            <w:pPr>
              <w:overflowPunct w:val="0"/>
              <w:adjustRightInd w:val="0"/>
              <w:textAlignment w:val="baseline"/>
              <w:rPr>
                <w:strike w:val="0"/>
              </w:rPr>
            </w:pPr>
            <w:r>
              <w:rPr>
                <w:strike w:val="0"/>
              </w:rPr>
              <w:t>Medical back problems w/o spinal</w:t>
            </w:r>
            <w:r w:rsidR="00CB31CC">
              <w:rPr>
                <w:strike w:val="0"/>
              </w:rPr>
              <w:t xml:space="preserve"> cord involvement</w:t>
            </w:r>
          </w:p>
        </w:tc>
        <w:tc>
          <w:tcPr>
            <w:tcW w:w="836" w:type="dxa"/>
          </w:tcPr>
          <w:p w:rsidR="000772C1" w:rsidRPr="00DB56FD" w:rsidRDefault="002D0EF8" w:rsidP="009B2602">
            <w:pPr>
              <w:overflowPunct w:val="0"/>
              <w:adjustRightInd w:val="0"/>
              <w:jc w:val="center"/>
              <w:textAlignment w:val="baseline"/>
              <w:rPr>
                <w:strike w:val="0"/>
              </w:rPr>
            </w:pPr>
            <w:r>
              <w:rPr>
                <w:strike w:val="0"/>
              </w:rPr>
              <w:t>19.0%</w:t>
            </w:r>
          </w:p>
        </w:tc>
        <w:tc>
          <w:tcPr>
            <w:tcW w:w="836" w:type="dxa"/>
          </w:tcPr>
          <w:p w:rsidR="000772C1" w:rsidRPr="00DB56FD" w:rsidRDefault="00C052C6" w:rsidP="009B2602">
            <w:pPr>
              <w:overflowPunct w:val="0"/>
              <w:adjustRightInd w:val="0"/>
              <w:jc w:val="center"/>
              <w:textAlignment w:val="baseline"/>
              <w:rPr>
                <w:strike w:val="0"/>
              </w:rPr>
            </w:pPr>
            <w:r>
              <w:rPr>
                <w:strike w:val="0"/>
              </w:rPr>
              <w:t>18.6%</w:t>
            </w:r>
          </w:p>
        </w:tc>
        <w:tc>
          <w:tcPr>
            <w:tcW w:w="836" w:type="dxa"/>
          </w:tcPr>
          <w:p w:rsidR="000772C1" w:rsidRPr="00DB56FD" w:rsidRDefault="00B808AD" w:rsidP="009B2602">
            <w:pPr>
              <w:overflowPunct w:val="0"/>
              <w:adjustRightInd w:val="0"/>
              <w:jc w:val="center"/>
              <w:textAlignment w:val="baseline"/>
              <w:rPr>
                <w:strike w:val="0"/>
              </w:rPr>
            </w:pPr>
            <w:r>
              <w:rPr>
                <w:strike w:val="0"/>
              </w:rPr>
              <w:t>18.5%</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18.7%</w:t>
            </w:r>
          </w:p>
        </w:tc>
      </w:tr>
      <w:tr w:rsidR="00CB31CC" w:rsidRPr="00DB56FD" w:rsidTr="00F06923">
        <w:tc>
          <w:tcPr>
            <w:tcW w:w="5330" w:type="dxa"/>
          </w:tcPr>
          <w:p w:rsidR="000772C1" w:rsidRPr="00DB56FD" w:rsidRDefault="00CB31CC" w:rsidP="00E63BAE">
            <w:pPr>
              <w:overflowPunct w:val="0"/>
              <w:adjustRightInd w:val="0"/>
              <w:textAlignment w:val="baseline"/>
              <w:rPr>
                <w:strike w:val="0"/>
              </w:rPr>
            </w:pPr>
            <w:r>
              <w:rPr>
                <w:strike w:val="0"/>
              </w:rPr>
              <w:t>Sprain of shoulder, arm, knee</w:t>
            </w:r>
            <w:r w:rsidR="002D0EF8">
              <w:rPr>
                <w:strike w:val="0"/>
              </w:rPr>
              <w:t xml:space="preserve">, </w:t>
            </w:r>
            <w:r>
              <w:rPr>
                <w:strike w:val="0"/>
              </w:rPr>
              <w:t>lower leg</w:t>
            </w:r>
          </w:p>
        </w:tc>
        <w:tc>
          <w:tcPr>
            <w:tcW w:w="836" w:type="dxa"/>
          </w:tcPr>
          <w:p w:rsidR="000772C1" w:rsidRPr="00DB56FD" w:rsidRDefault="002D0EF8" w:rsidP="009B2602">
            <w:pPr>
              <w:overflowPunct w:val="0"/>
              <w:adjustRightInd w:val="0"/>
              <w:jc w:val="center"/>
              <w:textAlignment w:val="baseline"/>
              <w:rPr>
                <w:strike w:val="0"/>
              </w:rPr>
            </w:pPr>
            <w:r>
              <w:rPr>
                <w:strike w:val="0"/>
              </w:rPr>
              <w:t>14.4%</w:t>
            </w:r>
          </w:p>
        </w:tc>
        <w:tc>
          <w:tcPr>
            <w:tcW w:w="836" w:type="dxa"/>
          </w:tcPr>
          <w:p w:rsidR="000772C1" w:rsidRPr="00DB56FD" w:rsidRDefault="00C052C6" w:rsidP="009B2602">
            <w:pPr>
              <w:overflowPunct w:val="0"/>
              <w:adjustRightInd w:val="0"/>
              <w:jc w:val="center"/>
              <w:textAlignment w:val="baseline"/>
              <w:rPr>
                <w:strike w:val="0"/>
              </w:rPr>
            </w:pPr>
            <w:r>
              <w:rPr>
                <w:strike w:val="0"/>
              </w:rPr>
              <w:t>14.7%</w:t>
            </w:r>
          </w:p>
        </w:tc>
        <w:tc>
          <w:tcPr>
            <w:tcW w:w="836" w:type="dxa"/>
          </w:tcPr>
          <w:p w:rsidR="000772C1" w:rsidRPr="00DB56FD" w:rsidRDefault="00B808AD" w:rsidP="009B2602">
            <w:pPr>
              <w:overflowPunct w:val="0"/>
              <w:adjustRightInd w:val="0"/>
              <w:jc w:val="center"/>
              <w:textAlignment w:val="baseline"/>
              <w:rPr>
                <w:strike w:val="0"/>
              </w:rPr>
            </w:pPr>
            <w:r>
              <w:rPr>
                <w:strike w:val="0"/>
              </w:rPr>
              <w:t>15.7%</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14.9%</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Ruptured tendon, tendonitis, myositis, bursitis</w:t>
            </w:r>
          </w:p>
        </w:tc>
        <w:tc>
          <w:tcPr>
            <w:tcW w:w="836" w:type="dxa"/>
          </w:tcPr>
          <w:p w:rsidR="000772C1" w:rsidRPr="00DB56FD" w:rsidRDefault="002D0EF8" w:rsidP="009B2602">
            <w:pPr>
              <w:overflowPunct w:val="0"/>
              <w:adjustRightInd w:val="0"/>
              <w:jc w:val="center"/>
              <w:textAlignment w:val="baseline"/>
              <w:rPr>
                <w:strike w:val="0"/>
              </w:rPr>
            </w:pPr>
            <w:r>
              <w:rPr>
                <w:strike w:val="0"/>
              </w:rPr>
              <w:t>6.0%</w:t>
            </w:r>
          </w:p>
        </w:tc>
        <w:tc>
          <w:tcPr>
            <w:tcW w:w="836" w:type="dxa"/>
          </w:tcPr>
          <w:p w:rsidR="000772C1" w:rsidRPr="00DB56FD" w:rsidRDefault="00C052C6" w:rsidP="009B2602">
            <w:pPr>
              <w:overflowPunct w:val="0"/>
              <w:adjustRightInd w:val="0"/>
              <w:jc w:val="center"/>
              <w:textAlignment w:val="baseline"/>
              <w:rPr>
                <w:strike w:val="0"/>
              </w:rPr>
            </w:pPr>
            <w:r>
              <w:rPr>
                <w:strike w:val="0"/>
              </w:rPr>
              <w:t>6.0%</w:t>
            </w:r>
          </w:p>
        </w:tc>
        <w:tc>
          <w:tcPr>
            <w:tcW w:w="836" w:type="dxa"/>
          </w:tcPr>
          <w:p w:rsidR="000772C1" w:rsidRPr="00DB56FD" w:rsidRDefault="00B808AD" w:rsidP="009B2602">
            <w:pPr>
              <w:overflowPunct w:val="0"/>
              <w:adjustRightInd w:val="0"/>
              <w:jc w:val="center"/>
              <w:textAlignment w:val="baseline"/>
              <w:rPr>
                <w:strike w:val="0"/>
              </w:rPr>
            </w:pPr>
            <w:r>
              <w:rPr>
                <w:strike w:val="0"/>
              </w:rPr>
              <w:t>5.7%</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5.9%</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Joint pain</w:t>
            </w:r>
          </w:p>
        </w:tc>
        <w:tc>
          <w:tcPr>
            <w:tcW w:w="836" w:type="dxa"/>
          </w:tcPr>
          <w:p w:rsidR="000772C1" w:rsidRPr="00DB56FD" w:rsidRDefault="002D0EF8" w:rsidP="009B2602">
            <w:pPr>
              <w:overflowPunct w:val="0"/>
              <w:adjustRightInd w:val="0"/>
              <w:jc w:val="center"/>
              <w:textAlignment w:val="baseline"/>
              <w:rPr>
                <w:strike w:val="0"/>
              </w:rPr>
            </w:pPr>
            <w:r>
              <w:rPr>
                <w:strike w:val="0"/>
              </w:rPr>
              <w:t>4.5%</w:t>
            </w:r>
          </w:p>
        </w:tc>
        <w:tc>
          <w:tcPr>
            <w:tcW w:w="836" w:type="dxa"/>
          </w:tcPr>
          <w:p w:rsidR="000772C1" w:rsidRPr="00DB56FD" w:rsidRDefault="00C052C6" w:rsidP="009B2602">
            <w:pPr>
              <w:overflowPunct w:val="0"/>
              <w:adjustRightInd w:val="0"/>
              <w:jc w:val="center"/>
              <w:textAlignment w:val="baseline"/>
              <w:rPr>
                <w:strike w:val="0"/>
              </w:rPr>
            </w:pPr>
            <w:r>
              <w:rPr>
                <w:strike w:val="0"/>
              </w:rPr>
              <w:t>4.7%</w:t>
            </w:r>
          </w:p>
        </w:tc>
        <w:tc>
          <w:tcPr>
            <w:tcW w:w="836" w:type="dxa"/>
          </w:tcPr>
          <w:p w:rsidR="000772C1" w:rsidRPr="00DB56FD" w:rsidRDefault="00B808AD" w:rsidP="009B2602">
            <w:pPr>
              <w:overflowPunct w:val="0"/>
              <w:adjustRightInd w:val="0"/>
              <w:jc w:val="center"/>
              <w:textAlignment w:val="baseline"/>
              <w:rPr>
                <w:strike w:val="0"/>
              </w:rPr>
            </w:pPr>
            <w:r>
              <w:rPr>
                <w:strike w:val="0"/>
              </w:rPr>
              <w:t>4.6%</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4.6%</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Wound or fracture of shoulder, arm, knee, lower leg</w:t>
            </w:r>
          </w:p>
        </w:tc>
        <w:tc>
          <w:tcPr>
            <w:tcW w:w="836" w:type="dxa"/>
          </w:tcPr>
          <w:p w:rsidR="000772C1" w:rsidRPr="00DB56FD" w:rsidRDefault="002D0EF8" w:rsidP="009B2602">
            <w:pPr>
              <w:overflowPunct w:val="0"/>
              <w:adjustRightInd w:val="0"/>
              <w:jc w:val="center"/>
              <w:textAlignment w:val="baseline"/>
              <w:rPr>
                <w:strike w:val="0"/>
              </w:rPr>
            </w:pPr>
            <w:r>
              <w:rPr>
                <w:strike w:val="0"/>
              </w:rPr>
              <w:t>3.1%</w:t>
            </w:r>
          </w:p>
        </w:tc>
        <w:tc>
          <w:tcPr>
            <w:tcW w:w="836" w:type="dxa"/>
          </w:tcPr>
          <w:p w:rsidR="000772C1" w:rsidRPr="00DB56FD" w:rsidRDefault="00C052C6" w:rsidP="009B2602">
            <w:pPr>
              <w:overflowPunct w:val="0"/>
              <w:adjustRightInd w:val="0"/>
              <w:jc w:val="center"/>
              <w:textAlignment w:val="baseline"/>
              <w:rPr>
                <w:strike w:val="0"/>
              </w:rPr>
            </w:pPr>
            <w:r>
              <w:rPr>
                <w:strike w:val="0"/>
              </w:rPr>
              <w:t>3.2%</w:t>
            </w:r>
          </w:p>
        </w:tc>
        <w:tc>
          <w:tcPr>
            <w:tcW w:w="836" w:type="dxa"/>
          </w:tcPr>
          <w:p w:rsidR="000772C1" w:rsidRPr="00DB56FD" w:rsidRDefault="00B808AD" w:rsidP="009B2602">
            <w:pPr>
              <w:overflowPunct w:val="0"/>
              <w:adjustRightInd w:val="0"/>
              <w:jc w:val="center"/>
              <w:textAlignment w:val="baseline"/>
              <w:rPr>
                <w:strike w:val="0"/>
              </w:rPr>
            </w:pPr>
            <w:r>
              <w:rPr>
                <w:strike w:val="0"/>
              </w:rPr>
              <w:t>3.2%</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3.2%</w:t>
            </w:r>
          </w:p>
        </w:tc>
      </w:tr>
      <w:tr w:rsidR="00CB31CC" w:rsidRPr="00DB56FD" w:rsidTr="00F06923">
        <w:tc>
          <w:tcPr>
            <w:tcW w:w="5330" w:type="dxa"/>
          </w:tcPr>
          <w:p w:rsidR="000772C1" w:rsidRPr="00DB56FD" w:rsidRDefault="007C14C6" w:rsidP="00E63BAE">
            <w:pPr>
              <w:overflowPunct w:val="0"/>
              <w:adjustRightInd w:val="0"/>
              <w:textAlignment w:val="baseline"/>
              <w:rPr>
                <w:strike w:val="0"/>
              </w:rPr>
            </w:pPr>
            <w:r>
              <w:rPr>
                <w:strike w:val="0"/>
              </w:rPr>
              <w:t>External eye disorders</w:t>
            </w:r>
          </w:p>
        </w:tc>
        <w:tc>
          <w:tcPr>
            <w:tcW w:w="836" w:type="dxa"/>
          </w:tcPr>
          <w:p w:rsidR="000772C1" w:rsidRPr="00DB56FD" w:rsidRDefault="002D0EF8" w:rsidP="009B2602">
            <w:pPr>
              <w:overflowPunct w:val="0"/>
              <w:adjustRightInd w:val="0"/>
              <w:jc w:val="center"/>
              <w:textAlignment w:val="baseline"/>
              <w:rPr>
                <w:strike w:val="0"/>
              </w:rPr>
            </w:pPr>
            <w:r>
              <w:rPr>
                <w:strike w:val="0"/>
              </w:rPr>
              <w:t>2.9%</w:t>
            </w:r>
          </w:p>
        </w:tc>
        <w:tc>
          <w:tcPr>
            <w:tcW w:w="836" w:type="dxa"/>
          </w:tcPr>
          <w:p w:rsidR="000772C1" w:rsidRPr="00DB56FD" w:rsidRDefault="00C052C6" w:rsidP="009B2602">
            <w:pPr>
              <w:overflowPunct w:val="0"/>
              <w:adjustRightInd w:val="0"/>
              <w:jc w:val="center"/>
              <w:textAlignment w:val="baseline"/>
              <w:rPr>
                <w:strike w:val="0"/>
              </w:rPr>
            </w:pPr>
            <w:r>
              <w:rPr>
                <w:strike w:val="0"/>
              </w:rPr>
              <w:t>2.9%</w:t>
            </w:r>
          </w:p>
        </w:tc>
        <w:tc>
          <w:tcPr>
            <w:tcW w:w="836" w:type="dxa"/>
          </w:tcPr>
          <w:p w:rsidR="000772C1" w:rsidRPr="00DB56FD" w:rsidRDefault="00B808AD" w:rsidP="009B2602">
            <w:pPr>
              <w:overflowPunct w:val="0"/>
              <w:adjustRightInd w:val="0"/>
              <w:jc w:val="center"/>
              <w:textAlignment w:val="baseline"/>
              <w:rPr>
                <w:strike w:val="0"/>
              </w:rPr>
            </w:pPr>
            <w:r>
              <w:rPr>
                <w:strike w:val="0"/>
              </w:rPr>
              <w:t>2.8%</w:t>
            </w:r>
          </w:p>
        </w:tc>
        <w:tc>
          <w:tcPr>
            <w:tcW w:w="1270" w:type="dxa"/>
          </w:tcPr>
          <w:p w:rsidR="000772C1" w:rsidRPr="00AF786E" w:rsidRDefault="00B808AD" w:rsidP="009B2602">
            <w:pPr>
              <w:overflowPunct w:val="0"/>
              <w:adjustRightInd w:val="0"/>
              <w:jc w:val="center"/>
              <w:textAlignment w:val="baseline"/>
              <w:rPr>
                <w:b/>
                <w:strike w:val="0"/>
              </w:rPr>
            </w:pPr>
            <w:r w:rsidRPr="00AF786E">
              <w:rPr>
                <w:b/>
                <w:strike w:val="0"/>
              </w:rPr>
              <w:t>2.8%</w:t>
            </w:r>
          </w:p>
        </w:tc>
      </w:tr>
      <w:tr w:rsidR="00CB31CC" w:rsidRPr="0039515B" w:rsidTr="00F06923">
        <w:tc>
          <w:tcPr>
            <w:tcW w:w="5330" w:type="dxa"/>
          </w:tcPr>
          <w:p w:rsidR="000772C1" w:rsidRPr="0039515B" w:rsidRDefault="007C14C6" w:rsidP="00E63BAE">
            <w:pPr>
              <w:overflowPunct w:val="0"/>
              <w:adjustRightInd w:val="0"/>
              <w:textAlignment w:val="baseline"/>
              <w:rPr>
                <w:strike w:val="0"/>
              </w:rPr>
            </w:pPr>
            <w:r w:rsidRPr="0039515B">
              <w:rPr>
                <w:strike w:val="0"/>
              </w:rPr>
              <w:t>Trauma of fingers</w:t>
            </w:r>
            <w:r w:rsidR="002D0EF8" w:rsidRPr="0039515B">
              <w:rPr>
                <w:strike w:val="0"/>
              </w:rPr>
              <w:t>,</w:t>
            </w:r>
            <w:r w:rsidRPr="0039515B">
              <w:rPr>
                <w:strike w:val="0"/>
              </w:rPr>
              <w:t xml:space="preserve"> toes</w:t>
            </w:r>
          </w:p>
        </w:tc>
        <w:tc>
          <w:tcPr>
            <w:tcW w:w="836" w:type="dxa"/>
          </w:tcPr>
          <w:p w:rsidR="000772C1" w:rsidRPr="0039515B" w:rsidRDefault="002D0EF8" w:rsidP="009B2602">
            <w:pPr>
              <w:overflowPunct w:val="0"/>
              <w:adjustRightInd w:val="0"/>
              <w:jc w:val="center"/>
              <w:textAlignment w:val="baseline"/>
              <w:rPr>
                <w:strike w:val="0"/>
              </w:rPr>
            </w:pPr>
            <w:r w:rsidRPr="0039515B">
              <w:rPr>
                <w:strike w:val="0"/>
              </w:rPr>
              <w:t>2.4%</w:t>
            </w:r>
          </w:p>
        </w:tc>
        <w:tc>
          <w:tcPr>
            <w:tcW w:w="836" w:type="dxa"/>
          </w:tcPr>
          <w:p w:rsidR="000772C1" w:rsidRPr="0039515B" w:rsidRDefault="00B808AD" w:rsidP="009B2602">
            <w:pPr>
              <w:overflowPunct w:val="0"/>
              <w:adjustRightInd w:val="0"/>
              <w:jc w:val="center"/>
              <w:textAlignment w:val="baseline"/>
              <w:rPr>
                <w:strike w:val="0"/>
              </w:rPr>
            </w:pPr>
            <w:r w:rsidRPr="0039515B">
              <w:rPr>
                <w:strike w:val="0"/>
              </w:rPr>
              <w:t>2.3%</w:t>
            </w:r>
          </w:p>
        </w:tc>
        <w:tc>
          <w:tcPr>
            <w:tcW w:w="836" w:type="dxa"/>
          </w:tcPr>
          <w:p w:rsidR="000772C1" w:rsidRPr="0039515B" w:rsidRDefault="00B808AD" w:rsidP="009B2602">
            <w:pPr>
              <w:overflowPunct w:val="0"/>
              <w:adjustRightInd w:val="0"/>
              <w:jc w:val="center"/>
              <w:textAlignment w:val="baseline"/>
              <w:rPr>
                <w:strike w:val="0"/>
              </w:rPr>
            </w:pPr>
            <w:r w:rsidRPr="0039515B">
              <w:rPr>
                <w:strike w:val="0"/>
              </w:rPr>
              <w:t>2.5%</w:t>
            </w:r>
          </w:p>
        </w:tc>
        <w:tc>
          <w:tcPr>
            <w:tcW w:w="1270" w:type="dxa"/>
          </w:tcPr>
          <w:p w:rsidR="000772C1" w:rsidRPr="0039515B" w:rsidRDefault="00B808AD" w:rsidP="009B2602">
            <w:pPr>
              <w:overflowPunct w:val="0"/>
              <w:adjustRightInd w:val="0"/>
              <w:jc w:val="center"/>
              <w:textAlignment w:val="baseline"/>
              <w:rPr>
                <w:b/>
                <w:strike w:val="0"/>
              </w:rPr>
            </w:pPr>
            <w:r w:rsidRPr="0039515B">
              <w:rPr>
                <w:b/>
                <w:strike w:val="0"/>
              </w:rPr>
              <w:t>2.4%</w:t>
            </w:r>
          </w:p>
        </w:tc>
      </w:tr>
      <w:tr w:rsidR="002D0EF8" w:rsidRPr="00DB56FD" w:rsidTr="00F06923">
        <w:tc>
          <w:tcPr>
            <w:tcW w:w="5330" w:type="dxa"/>
          </w:tcPr>
          <w:p w:rsidR="002D0EF8" w:rsidRDefault="002D0EF8" w:rsidP="00E63BAE">
            <w:pPr>
              <w:overflowPunct w:val="0"/>
              <w:adjustRightInd w:val="0"/>
              <w:textAlignment w:val="baseline"/>
              <w:rPr>
                <w:strike w:val="0"/>
              </w:rPr>
            </w:pPr>
            <w:r>
              <w:rPr>
                <w:strike w:val="0"/>
              </w:rPr>
              <w:t>Total</w:t>
            </w:r>
          </w:p>
        </w:tc>
        <w:tc>
          <w:tcPr>
            <w:tcW w:w="836" w:type="dxa"/>
          </w:tcPr>
          <w:p w:rsidR="002D0EF8" w:rsidRDefault="00D736CD" w:rsidP="009B2602">
            <w:pPr>
              <w:overflowPunct w:val="0"/>
              <w:adjustRightInd w:val="0"/>
              <w:jc w:val="center"/>
              <w:textAlignment w:val="baseline"/>
              <w:rPr>
                <w:strike w:val="0"/>
              </w:rPr>
            </w:pPr>
            <w:r>
              <w:rPr>
                <w:strike w:val="0"/>
              </w:rPr>
              <w:t>73.4%</w:t>
            </w:r>
          </w:p>
        </w:tc>
        <w:tc>
          <w:tcPr>
            <w:tcW w:w="836" w:type="dxa"/>
          </w:tcPr>
          <w:p w:rsidR="002D0EF8" w:rsidRPr="00DB56FD" w:rsidRDefault="00D736CD" w:rsidP="009B2602">
            <w:pPr>
              <w:overflowPunct w:val="0"/>
              <w:adjustRightInd w:val="0"/>
              <w:jc w:val="center"/>
              <w:textAlignment w:val="baseline"/>
              <w:rPr>
                <w:strike w:val="0"/>
              </w:rPr>
            </w:pPr>
            <w:r>
              <w:rPr>
                <w:strike w:val="0"/>
              </w:rPr>
              <w:t>74.1%</w:t>
            </w:r>
          </w:p>
        </w:tc>
        <w:tc>
          <w:tcPr>
            <w:tcW w:w="836" w:type="dxa"/>
          </w:tcPr>
          <w:p w:rsidR="002D0EF8" w:rsidRPr="00DB56FD" w:rsidRDefault="00FF447E" w:rsidP="009B2602">
            <w:pPr>
              <w:overflowPunct w:val="0"/>
              <w:adjustRightInd w:val="0"/>
              <w:jc w:val="center"/>
              <w:textAlignment w:val="baseline"/>
              <w:rPr>
                <w:strike w:val="0"/>
              </w:rPr>
            </w:pPr>
            <w:r>
              <w:rPr>
                <w:strike w:val="0"/>
              </w:rPr>
              <w:t>74.6%</w:t>
            </w:r>
          </w:p>
        </w:tc>
        <w:tc>
          <w:tcPr>
            <w:tcW w:w="1270" w:type="dxa"/>
          </w:tcPr>
          <w:p w:rsidR="002D0EF8" w:rsidRPr="00AF786E" w:rsidRDefault="00FF447E" w:rsidP="009B2602">
            <w:pPr>
              <w:overflowPunct w:val="0"/>
              <w:adjustRightInd w:val="0"/>
              <w:jc w:val="center"/>
              <w:textAlignment w:val="baseline"/>
              <w:rPr>
                <w:b/>
                <w:strike w:val="0"/>
              </w:rPr>
            </w:pPr>
            <w:r w:rsidRPr="00AF786E">
              <w:rPr>
                <w:b/>
                <w:strike w:val="0"/>
              </w:rPr>
              <w:t>73.9%</w:t>
            </w:r>
          </w:p>
        </w:tc>
      </w:tr>
    </w:tbl>
    <w:p w:rsidR="00067C2C" w:rsidRDefault="00067C2C" w:rsidP="00E63BAE">
      <w:pPr>
        <w:overflowPunct w:val="0"/>
        <w:adjustRightInd w:val="0"/>
        <w:ind w:left="720"/>
        <w:textAlignment w:val="baseline"/>
        <w:rPr>
          <w:i/>
          <w:strike w:val="0"/>
          <w:u w:val="single"/>
        </w:rPr>
      </w:pPr>
    </w:p>
    <w:p w:rsidR="008261A9" w:rsidRPr="00EF29A0" w:rsidRDefault="0039515B" w:rsidP="00E63BAE">
      <w:pPr>
        <w:overflowPunct w:val="0"/>
        <w:adjustRightInd w:val="0"/>
        <w:ind w:left="720"/>
        <w:textAlignment w:val="baseline"/>
        <w:rPr>
          <w:i/>
          <w:strike w:val="0"/>
        </w:rPr>
      </w:pPr>
      <w:r w:rsidRPr="009262D0">
        <w:rPr>
          <w:i/>
          <w:strike w:val="0"/>
          <w:u w:val="single"/>
        </w:rPr>
        <w:t>P</w:t>
      </w:r>
      <w:r w:rsidR="008261A9" w:rsidRPr="009262D0">
        <w:rPr>
          <w:i/>
          <w:strike w:val="0"/>
          <w:u w:val="single"/>
        </w:rPr>
        <w:t xml:space="preserve">hysician </w:t>
      </w:r>
      <w:r w:rsidR="00994C49" w:rsidRPr="009262D0">
        <w:rPr>
          <w:i/>
          <w:strike w:val="0"/>
          <w:u w:val="single"/>
        </w:rPr>
        <w:t>types</w:t>
      </w:r>
      <w:r w:rsidR="00994C49">
        <w:rPr>
          <w:i/>
          <w:strike w:val="0"/>
        </w:rPr>
        <w:t xml:space="preserve"> are described in</w:t>
      </w:r>
      <w:r w:rsidR="00994C49" w:rsidRPr="00EF29A0">
        <w:rPr>
          <w:i/>
          <w:strike w:val="0"/>
        </w:rPr>
        <w:t xml:space="preserve"> </w:t>
      </w:r>
      <w:r w:rsidR="008261A9" w:rsidRPr="00EF29A0">
        <w:rPr>
          <w:i/>
          <w:strike w:val="0"/>
        </w:rPr>
        <w:t>Section 3209.3</w:t>
      </w:r>
      <w:r w:rsidR="00994C49">
        <w:rPr>
          <w:i/>
          <w:strike w:val="0"/>
        </w:rPr>
        <w:t xml:space="preserve"> </w:t>
      </w:r>
      <w:r w:rsidR="00C14A15">
        <w:rPr>
          <w:i/>
          <w:strike w:val="0"/>
        </w:rPr>
        <w:t>as</w:t>
      </w:r>
      <w:r w:rsidR="00C14A15" w:rsidRPr="00EF29A0">
        <w:rPr>
          <w:i/>
          <w:strike w:val="0"/>
        </w:rPr>
        <w:t xml:space="preserve"> </w:t>
      </w:r>
      <w:r w:rsidR="00207840" w:rsidRPr="00EF29A0">
        <w:rPr>
          <w:i/>
          <w:strike w:val="0"/>
        </w:rPr>
        <w:t xml:space="preserve">physicians and surgeons holding an </w:t>
      </w:r>
      <w:r w:rsidR="008261A9" w:rsidRPr="00EF29A0">
        <w:rPr>
          <w:i/>
          <w:strike w:val="0"/>
        </w:rPr>
        <w:t>M.D.</w:t>
      </w:r>
      <w:r w:rsidR="00207840" w:rsidRPr="00EF29A0">
        <w:rPr>
          <w:i/>
          <w:strike w:val="0"/>
        </w:rPr>
        <w:t xml:space="preserve"> or</w:t>
      </w:r>
      <w:r w:rsidR="008261A9" w:rsidRPr="00EF29A0">
        <w:rPr>
          <w:i/>
          <w:strike w:val="0"/>
        </w:rPr>
        <w:t xml:space="preserve"> D.O.</w:t>
      </w:r>
      <w:r w:rsidR="00207840" w:rsidRPr="00EF29A0">
        <w:rPr>
          <w:i/>
          <w:strike w:val="0"/>
        </w:rPr>
        <w:t xml:space="preserve"> degree</w:t>
      </w:r>
      <w:r w:rsidR="008261A9" w:rsidRPr="00EF29A0">
        <w:rPr>
          <w:i/>
          <w:strike w:val="0"/>
        </w:rPr>
        <w:t xml:space="preserve">, psychologists, acupuncturists, optometrists, dentists, podiatrists, and chiropractors; and the other providers described in Section 3209.5 include physical therapists. </w:t>
      </w:r>
    </w:p>
    <w:p w:rsidR="008261A9" w:rsidRPr="00EF29A0" w:rsidRDefault="008261A9" w:rsidP="00E63BAE">
      <w:pPr>
        <w:overflowPunct w:val="0"/>
        <w:adjustRightInd w:val="0"/>
        <w:ind w:left="720"/>
        <w:textAlignment w:val="baseline"/>
        <w:rPr>
          <w:i/>
          <w:strike w:val="0"/>
          <w:sz w:val="12"/>
        </w:rPr>
      </w:pPr>
    </w:p>
    <w:p w:rsidR="0060149B" w:rsidRPr="00EF29A0" w:rsidRDefault="0060149B" w:rsidP="00E63BAE">
      <w:pPr>
        <w:overflowPunct w:val="0"/>
        <w:adjustRightInd w:val="0"/>
        <w:ind w:left="720"/>
        <w:textAlignment w:val="baseline"/>
        <w:rPr>
          <w:i/>
          <w:strike w:val="0"/>
          <w:u w:val="single"/>
        </w:rPr>
      </w:pPr>
      <w:r w:rsidRPr="00EF29A0">
        <w:rPr>
          <w:i/>
          <w:strike w:val="0"/>
          <w:u w:val="single"/>
        </w:rPr>
        <w:t>Authority</w:t>
      </w:r>
    </w:p>
    <w:p w:rsidR="00654FC8" w:rsidRPr="00EF29A0" w:rsidRDefault="00654FC8" w:rsidP="00E63BAE">
      <w:pPr>
        <w:overflowPunct w:val="0"/>
        <w:adjustRightInd w:val="0"/>
        <w:ind w:left="720"/>
        <w:textAlignment w:val="baseline"/>
        <w:rPr>
          <w:i/>
          <w:strike w:val="0"/>
        </w:rPr>
      </w:pPr>
      <w:r w:rsidRPr="00EF29A0">
        <w:rPr>
          <w:i/>
          <w:strike w:val="0"/>
        </w:rPr>
        <w:t xml:space="preserve">When the statutory language is clear and unambiguous, there is no room for interpretation and the </w:t>
      </w:r>
      <w:r w:rsidR="008B26E3">
        <w:rPr>
          <w:i/>
          <w:strike w:val="0"/>
        </w:rPr>
        <w:t>statutory language must prevail</w:t>
      </w:r>
      <w:r w:rsidRPr="00EF29A0">
        <w:rPr>
          <w:i/>
          <w:strike w:val="0"/>
        </w:rPr>
        <w:t xml:space="preserve">.  </w:t>
      </w:r>
      <w:r w:rsidR="00FE5356" w:rsidRPr="00EF29A0">
        <w:rPr>
          <w:i/>
          <w:strike w:val="0"/>
        </w:rPr>
        <w:t xml:space="preserve">Per </w:t>
      </w:r>
      <w:r w:rsidRPr="00EF29A0">
        <w:rPr>
          <w:i/>
          <w:strike w:val="0"/>
          <w:u w:val="single"/>
        </w:rPr>
        <w:t>DuBois v WCAB</w:t>
      </w:r>
      <w:r w:rsidRPr="00EF29A0">
        <w:rPr>
          <w:i/>
          <w:strike w:val="0"/>
        </w:rPr>
        <w:t xml:space="preserve"> (1993) 58 CCC 286</w:t>
      </w:r>
      <w:r w:rsidR="00FE5356" w:rsidRPr="00EF29A0">
        <w:rPr>
          <w:i/>
          <w:strike w:val="0"/>
        </w:rPr>
        <w:t>,</w:t>
      </w:r>
      <w:r w:rsidR="00B458E3" w:rsidRPr="00EF29A0">
        <w:rPr>
          <w:i/>
          <w:strike w:val="0"/>
        </w:rPr>
        <w:t xml:space="preserve"> a</w:t>
      </w:r>
      <w:r w:rsidRPr="00EF29A0">
        <w:rPr>
          <w:i/>
          <w:strike w:val="0"/>
        </w:rPr>
        <w:t xml:space="preserve"> regulation must be</w:t>
      </w:r>
      <w:r w:rsidR="00C14A15">
        <w:rPr>
          <w:i/>
          <w:strike w:val="0"/>
        </w:rPr>
        <w:t>:</w:t>
      </w:r>
      <w:r w:rsidRPr="00EF29A0">
        <w:rPr>
          <w:i/>
          <w:strike w:val="0"/>
        </w:rPr>
        <w:t xml:space="preserve"> 1) within the scope of the authority conferred by the statute</w:t>
      </w:r>
      <w:r w:rsidR="00C14A15">
        <w:rPr>
          <w:i/>
          <w:strike w:val="0"/>
        </w:rPr>
        <w:t>;</w:t>
      </w:r>
      <w:r w:rsidRPr="00EF29A0">
        <w:rPr>
          <w:i/>
          <w:strike w:val="0"/>
        </w:rPr>
        <w:t xml:space="preserve"> and 2) reasonably necessary to effectuate the purpose of the statute; see: </w:t>
      </w:r>
      <w:r w:rsidRPr="00EF29A0">
        <w:rPr>
          <w:i/>
          <w:strike w:val="0"/>
          <w:u w:val="single"/>
        </w:rPr>
        <w:t>Woods v Superior Court</w:t>
      </w:r>
      <w:r w:rsidRPr="00EF29A0">
        <w:rPr>
          <w:i/>
          <w:strike w:val="0"/>
        </w:rPr>
        <w:t xml:space="preserve"> (1981) 28 Cal 3d 668, where the Supreme Court held that regulations that exceed the scope of the enabling statute are invalid and have no force or life.  </w:t>
      </w:r>
    </w:p>
    <w:p w:rsidR="00654FC8" w:rsidRPr="00EF29A0" w:rsidRDefault="00654FC8" w:rsidP="00E63BAE">
      <w:pPr>
        <w:overflowPunct w:val="0"/>
        <w:adjustRightInd w:val="0"/>
        <w:ind w:left="720"/>
        <w:textAlignment w:val="baseline"/>
        <w:rPr>
          <w:i/>
          <w:strike w:val="0"/>
          <w:sz w:val="12"/>
        </w:rPr>
      </w:pPr>
    </w:p>
    <w:p w:rsidR="00654FC8" w:rsidRPr="00EF29A0" w:rsidRDefault="00654FC8" w:rsidP="00E63BAE">
      <w:pPr>
        <w:overflowPunct w:val="0"/>
        <w:adjustRightInd w:val="0"/>
        <w:ind w:left="720"/>
        <w:textAlignment w:val="baseline"/>
        <w:rPr>
          <w:i/>
          <w:strike w:val="0"/>
        </w:rPr>
      </w:pPr>
      <w:r w:rsidRPr="00EF29A0">
        <w:rPr>
          <w:i/>
          <w:strike w:val="0"/>
        </w:rPr>
        <w:t xml:space="preserve">In </w:t>
      </w:r>
      <w:r w:rsidRPr="00EF29A0">
        <w:rPr>
          <w:i/>
          <w:strike w:val="0"/>
          <w:u w:val="single"/>
        </w:rPr>
        <w:t>Mendoza v WCAB</w:t>
      </w:r>
      <w:r w:rsidRPr="00EF29A0">
        <w:rPr>
          <w:i/>
          <w:strike w:val="0"/>
        </w:rPr>
        <w:t xml:space="preserve"> (2010) en banc opinion 75 CCC 634, the Board found the </w:t>
      </w:r>
      <w:r w:rsidR="00B458E3" w:rsidRPr="00EF29A0">
        <w:rPr>
          <w:i/>
          <w:strike w:val="0"/>
        </w:rPr>
        <w:t>A</w:t>
      </w:r>
      <w:r w:rsidRPr="00EF29A0">
        <w:rPr>
          <w:i/>
          <w:strike w:val="0"/>
        </w:rPr>
        <w:t xml:space="preserve">dministrative </w:t>
      </w:r>
      <w:r w:rsidR="00B458E3" w:rsidRPr="00EF29A0">
        <w:rPr>
          <w:i/>
          <w:strike w:val="0"/>
        </w:rPr>
        <w:t>D</w:t>
      </w:r>
      <w:r w:rsidRPr="00EF29A0">
        <w:rPr>
          <w:i/>
          <w:strike w:val="0"/>
        </w:rPr>
        <w:t>irector’s rule invalid and held:</w:t>
      </w:r>
    </w:p>
    <w:p w:rsidR="00654FC8" w:rsidRPr="00EF29A0" w:rsidRDefault="00B458E3" w:rsidP="00E63BAE">
      <w:pPr>
        <w:overflowPunct w:val="0"/>
        <w:adjustRightInd w:val="0"/>
        <w:ind w:left="720"/>
        <w:textAlignment w:val="baseline"/>
        <w:rPr>
          <w:i/>
          <w:strike w:val="0"/>
        </w:rPr>
      </w:pPr>
      <w:r w:rsidRPr="00EF29A0">
        <w:rPr>
          <w:i/>
          <w:strike w:val="0"/>
        </w:rPr>
        <w:t>“</w:t>
      </w:r>
      <w:r w:rsidR="00654FC8" w:rsidRPr="00EF29A0">
        <w:rPr>
          <w:i/>
          <w:strike w:val="0"/>
        </w:rPr>
        <w:t>… no regulation adopted is valid or effective unless consistent and not in conflict with the statute.”  … An administrative agency has no discretion to promulgate a regulation that is inconsistent with the governing statutes.”</w:t>
      </w:r>
    </w:p>
    <w:p w:rsidR="0060149B" w:rsidRPr="00EF29A0" w:rsidRDefault="0060149B" w:rsidP="00E63BAE">
      <w:pPr>
        <w:overflowPunct w:val="0"/>
        <w:adjustRightInd w:val="0"/>
        <w:ind w:left="720"/>
        <w:textAlignment w:val="baseline"/>
        <w:rPr>
          <w:i/>
          <w:strike w:val="0"/>
          <w:sz w:val="12"/>
        </w:rPr>
      </w:pPr>
    </w:p>
    <w:p w:rsidR="0060149B" w:rsidRPr="00EF29A0" w:rsidRDefault="0060149B" w:rsidP="00E63BAE">
      <w:pPr>
        <w:overflowPunct w:val="0"/>
        <w:adjustRightInd w:val="0"/>
        <w:ind w:left="720"/>
        <w:textAlignment w:val="baseline"/>
        <w:rPr>
          <w:i/>
          <w:strike w:val="0"/>
        </w:rPr>
      </w:pPr>
      <w:r w:rsidRPr="00EF29A0">
        <w:rPr>
          <w:i/>
          <w:strike w:val="0"/>
        </w:rPr>
        <w:t xml:space="preserve">In this instance, the </w:t>
      </w:r>
      <w:r w:rsidR="00BE6612" w:rsidRPr="00EF29A0">
        <w:rPr>
          <w:i/>
          <w:strike w:val="0"/>
        </w:rPr>
        <w:t>Administrative Director</w:t>
      </w:r>
      <w:r w:rsidRPr="00EF29A0">
        <w:rPr>
          <w:i/>
          <w:strike w:val="0"/>
        </w:rPr>
        <w:t xml:space="preserve"> has defined “physician type” to mean “specialty,” even though the statute specifically defines physician type by reference to sections 3209.3.  The result has been to make the physician access standards considerably more difficult and costly to meet</w:t>
      </w:r>
      <w:r w:rsidR="00AA3985">
        <w:rPr>
          <w:i/>
          <w:strike w:val="0"/>
        </w:rPr>
        <w:t xml:space="preserve"> and </w:t>
      </w:r>
      <w:r w:rsidR="00EA3B50">
        <w:rPr>
          <w:i/>
          <w:strike w:val="0"/>
        </w:rPr>
        <w:t xml:space="preserve">the </w:t>
      </w:r>
      <w:r w:rsidR="00A95AE3">
        <w:rPr>
          <w:i/>
          <w:strike w:val="0"/>
        </w:rPr>
        <w:t xml:space="preserve">networks larger </w:t>
      </w:r>
      <w:r w:rsidR="00484A36">
        <w:rPr>
          <w:i/>
          <w:strike w:val="0"/>
        </w:rPr>
        <w:t>and less effective</w:t>
      </w:r>
      <w:r w:rsidR="00A95AE3">
        <w:rPr>
          <w:i/>
          <w:strike w:val="0"/>
        </w:rPr>
        <w:t xml:space="preserve">.   </w:t>
      </w:r>
      <w:r w:rsidRPr="00EF29A0">
        <w:rPr>
          <w:i/>
          <w:strike w:val="0"/>
        </w:rPr>
        <w:t>It is clearly an impermissible expansion of the Administrative Director’s authority to set a standard for the number of physicians by specialty, instead of by type.</w:t>
      </w:r>
      <w:r w:rsidR="00BE6612" w:rsidRPr="00EF29A0">
        <w:rPr>
          <w:i/>
          <w:strike w:val="0"/>
        </w:rPr>
        <w:t xml:space="preserve"> </w:t>
      </w:r>
      <w:r w:rsidRPr="00EF29A0">
        <w:rPr>
          <w:i/>
          <w:strike w:val="0"/>
        </w:rPr>
        <w:t xml:space="preserve"> As the Supreme Court has ruled, an administrative agency has no discretion to promulgate a regulation that is inconsistent with the governing statutes.  The </w:t>
      </w:r>
      <w:r w:rsidR="00BE6612" w:rsidRPr="00EF29A0">
        <w:rPr>
          <w:i/>
          <w:strike w:val="0"/>
        </w:rPr>
        <w:t xml:space="preserve">Administrative Director </w:t>
      </w:r>
      <w:r w:rsidRPr="00EF29A0">
        <w:rPr>
          <w:i/>
          <w:strike w:val="0"/>
        </w:rPr>
        <w:t>needs to rectify this standard.</w:t>
      </w:r>
    </w:p>
    <w:p w:rsidR="0060149B" w:rsidRDefault="0060149B" w:rsidP="00E63BAE">
      <w:pPr>
        <w:autoSpaceDE/>
        <w:autoSpaceDN/>
        <w:ind w:left="720"/>
        <w:rPr>
          <w:rFonts w:ascii="Arial" w:eastAsia="Calibri" w:hAnsi="Arial" w:cs="Arial"/>
          <w:i/>
          <w:strike w:val="0"/>
          <w:sz w:val="12"/>
        </w:rPr>
      </w:pPr>
      <w:r w:rsidRPr="00EF29A0">
        <w:rPr>
          <w:rFonts w:ascii="Arial" w:eastAsia="Calibri" w:hAnsi="Arial" w:cs="Arial"/>
          <w:i/>
          <w:strike w:val="0"/>
          <w:sz w:val="12"/>
        </w:rPr>
        <w:t xml:space="preserve"> </w:t>
      </w:r>
    </w:p>
    <w:p w:rsidR="00440C24" w:rsidRDefault="00440C24" w:rsidP="00E63BAE">
      <w:pPr>
        <w:autoSpaceDE/>
        <w:autoSpaceDN/>
        <w:ind w:left="720"/>
        <w:rPr>
          <w:rFonts w:ascii="Arial" w:eastAsia="Calibri" w:hAnsi="Arial" w:cs="Arial"/>
          <w:i/>
          <w:strike w:val="0"/>
          <w:sz w:val="12"/>
        </w:rPr>
      </w:pPr>
    </w:p>
    <w:p w:rsidR="00440C24" w:rsidRDefault="00440C24" w:rsidP="00E63BAE">
      <w:pPr>
        <w:autoSpaceDE/>
        <w:autoSpaceDN/>
        <w:ind w:left="720"/>
        <w:rPr>
          <w:rFonts w:ascii="Arial" w:eastAsia="Calibri" w:hAnsi="Arial" w:cs="Arial"/>
          <w:i/>
          <w:strike w:val="0"/>
          <w:sz w:val="12"/>
        </w:rPr>
      </w:pPr>
    </w:p>
    <w:p w:rsidR="00440C24" w:rsidRPr="00EF29A0" w:rsidRDefault="00440C24" w:rsidP="00E63BAE">
      <w:pPr>
        <w:autoSpaceDE/>
        <w:autoSpaceDN/>
        <w:ind w:left="720"/>
        <w:rPr>
          <w:rFonts w:ascii="Arial" w:eastAsia="Calibri" w:hAnsi="Arial" w:cs="Arial"/>
          <w:i/>
          <w:strike w:val="0"/>
          <w:sz w:val="12"/>
        </w:rPr>
      </w:pPr>
    </w:p>
    <w:p w:rsidR="0060149B" w:rsidRPr="00EF29A0" w:rsidRDefault="0060149B" w:rsidP="00E63BAE">
      <w:pPr>
        <w:autoSpaceDE/>
        <w:autoSpaceDN/>
        <w:ind w:left="1440"/>
        <w:rPr>
          <w:rFonts w:ascii="Arial" w:eastAsia="Calibri" w:hAnsi="Arial" w:cs="Arial"/>
          <w:i/>
          <w:strike w:val="0"/>
          <w:sz w:val="12"/>
        </w:rPr>
      </w:pPr>
    </w:p>
    <w:p w:rsidR="00BE6612" w:rsidRPr="00EF29A0" w:rsidRDefault="00BE6612" w:rsidP="00E63BAE">
      <w:pPr>
        <w:overflowPunct w:val="0"/>
        <w:adjustRightInd w:val="0"/>
        <w:ind w:left="720"/>
        <w:textAlignment w:val="baseline"/>
        <w:rPr>
          <w:i/>
          <w:strike w:val="0"/>
        </w:rPr>
      </w:pPr>
      <w:r w:rsidRPr="00EF29A0">
        <w:rPr>
          <w:i/>
          <w:strike w:val="0"/>
        </w:rPr>
        <w:lastRenderedPageBreak/>
        <w:t xml:space="preserve">MPN listings will continue to identify physician specialties, but a correction to the regulation will allow MPNs to determine the number </w:t>
      </w:r>
      <w:r w:rsidR="00BB3927">
        <w:rPr>
          <w:i/>
          <w:strike w:val="0"/>
        </w:rPr>
        <w:t xml:space="preserve">necessary </w:t>
      </w:r>
      <w:r w:rsidRPr="00EF29A0">
        <w:rPr>
          <w:i/>
          <w:strike w:val="0"/>
        </w:rPr>
        <w:t xml:space="preserve">for each specialty, instead of being artificially constrained by a minimum number for each, no matter the need.  This will ensure better, more flexible networks.   </w:t>
      </w:r>
    </w:p>
    <w:p w:rsidR="005E3150" w:rsidRDefault="006C5FA1" w:rsidP="00E63BAE">
      <w:pPr>
        <w:overflowPunct w:val="0"/>
        <w:adjustRightInd w:val="0"/>
        <w:spacing w:before="240"/>
        <w:textAlignment w:val="baseline"/>
        <w:rPr>
          <w:strike w:val="0"/>
          <w:highlight w:val="yellow"/>
          <w:u w:val="single"/>
        </w:rPr>
      </w:pPr>
      <w:r>
        <w:rPr>
          <w:strike w:val="0"/>
          <w:highlight w:val="yellow"/>
          <w:u w:val="single"/>
        </w:rPr>
        <w:t>(a)</w:t>
      </w:r>
      <w:r w:rsidR="002809B5">
        <w:rPr>
          <w:strike w:val="0"/>
          <w:highlight w:val="yellow"/>
          <w:u w:val="single"/>
        </w:rPr>
        <w:t>(36</w:t>
      </w:r>
      <w:r w:rsidR="0028709F">
        <w:rPr>
          <w:strike w:val="0"/>
          <w:highlight w:val="yellow"/>
          <w:u w:val="single"/>
        </w:rPr>
        <w:t xml:space="preserve">) </w:t>
      </w:r>
      <w:r w:rsidR="00E3016C">
        <w:rPr>
          <w:strike w:val="0"/>
          <w:highlight w:val="yellow"/>
          <w:u w:val="single"/>
        </w:rPr>
        <w:t>“</w:t>
      </w:r>
      <w:r w:rsidR="0028709F">
        <w:rPr>
          <w:strike w:val="0"/>
          <w:highlight w:val="yellow"/>
          <w:u w:val="single"/>
        </w:rPr>
        <w:t>Claims administrator</w:t>
      </w:r>
      <w:r w:rsidR="00E3016C">
        <w:rPr>
          <w:strike w:val="0"/>
          <w:highlight w:val="yellow"/>
          <w:u w:val="single"/>
        </w:rPr>
        <w:t>”</w:t>
      </w:r>
      <w:r w:rsidR="0028709F">
        <w:rPr>
          <w:strike w:val="0"/>
          <w:highlight w:val="yellow"/>
          <w:u w:val="single"/>
        </w:rPr>
        <w:t xml:space="preserve"> means an employer as described in subdivision </w:t>
      </w:r>
      <w:r w:rsidR="00D03CB4">
        <w:rPr>
          <w:strike w:val="0"/>
          <w:highlight w:val="yellow"/>
          <w:u w:val="single"/>
        </w:rPr>
        <w:t>(6), an insurer as defined in subdivision (13) or a third party administrator (TPA) acting on behalf of a</w:t>
      </w:r>
      <w:r w:rsidR="00B54F3F">
        <w:rPr>
          <w:strike w:val="0"/>
          <w:highlight w:val="yellow"/>
          <w:u w:val="single"/>
        </w:rPr>
        <w:t>n insurer</w:t>
      </w:r>
      <w:r w:rsidR="003D18A3">
        <w:rPr>
          <w:strike w:val="0"/>
          <w:highlight w:val="yellow"/>
          <w:u w:val="single"/>
        </w:rPr>
        <w:t xml:space="preserve"> </w:t>
      </w:r>
      <w:r w:rsidR="00D03CB4">
        <w:rPr>
          <w:strike w:val="0"/>
          <w:highlight w:val="yellow"/>
          <w:u w:val="single"/>
        </w:rPr>
        <w:t>or employer.</w:t>
      </w:r>
    </w:p>
    <w:p w:rsidR="00C609F7" w:rsidRDefault="005E3150" w:rsidP="00E63BAE">
      <w:pPr>
        <w:overflowPunct w:val="0"/>
        <w:adjustRightInd w:val="0"/>
        <w:spacing w:before="240"/>
        <w:ind w:left="720"/>
        <w:textAlignment w:val="baseline"/>
        <w:rPr>
          <w:i/>
          <w:strike w:val="0"/>
        </w:rPr>
      </w:pPr>
      <w:r w:rsidRPr="00E3016C">
        <w:rPr>
          <w:i/>
          <w:strike w:val="0"/>
        </w:rPr>
        <w:t xml:space="preserve">This definition is necessary to </w:t>
      </w:r>
      <w:r w:rsidR="00866B92" w:rsidRPr="00E3016C">
        <w:rPr>
          <w:i/>
          <w:strike w:val="0"/>
        </w:rPr>
        <w:t xml:space="preserve">efficiently and completely </w:t>
      </w:r>
      <w:r w:rsidRPr="00E3016C">
        <w:rPr>
          <w:i/>
          <w:strike w:val="0"/>
        </w:rPr>
        <w:t xml:space="preserve">describe the </w:t>
      </w:r>
      <w:r w:rsidR="00866B92" w:rsidRPr="00E3016C">
        <w:rPr>
          <w:i/>
          <w:strike w:val="0"/>
        </w:rPr>
        <w:t xml:space="preserve">type of </w:t>
      </w:r>
      <w:r w:rsidRPr="00E3016C">
        <w:rPr>
          <w:i/>
          <w:strike w:val="0"/>
        </w:rPr>
        <w:t xml:space="preserve">entities that administer claims, and </w:t>
      </w:r>
      <w:r w:rsidR="00866B92" w:rsidRPr="00E3016C">
        <w:rPr>
          <w:i/>
          <w:strike w:val="0"/>
        </w:rPr>
        <w:t xml:space="preserve">that </w:t>
      </w:r>
      <w:r w:rsidRPr="00E3016C">
        <w:rPr>
          <w:i/>
          <w:strike w:val="0"/>
        </w:rPr>
        <w:t>may</w:t>
      </w:r>
      <w:r w:rsidR="00E3016C" w:rsidRPr="00E3016C">
        <w:rPr>
          <w:i/>
          <w:strike w:val="0"/>
        </w:rPr>
        <w:t xml:space="preserve"> serve as an MPN applicant</w:t>
      </w:r>
      <w:r w:rsidR="00866B92" w:rsidRPr="00E3016C">
        <w:rPr>
          <w:i/>
          <w:strike w:val="0"/>
        </w:rPr>
        <w:t>, in addition to an entity that provides physician network services</w:t>
      </w:r>
      <w:r w:rsidR="00E3016C" w:rsidRPr="00E3016C">
        <w:rPr>
          <w:i/>
          <w:strike w:val="0"/>
        </w:rPr>
        <w:t>.</w:t>
      </w:r>
      <w:r w:rsidR="00866B92" w:rsidRPr="00E3016C">
        <w:rPr>
          <w:i/>
          <w:strike w:val="0"/>
        </w:rPr>
        <w:t xml:space="preserve"> </w:t>
      </w:r>
      <w:r w:rsidRPr="00E3016C">
        <w:rPr>
          <w:i/>
          <w:strike w:val="0"/>
        </w:rPr>
        <w:t xml:space="preserve"> </w:t>
      </w:r>
    </w:p>
    <w:p w:rsidR="003D18A3" w:rsidRDefault="00A13139" w:rsidP="00E63BAE">
      <w:pPr>
        <w:overflowPunct w:val="0"/>
        <w:adjustRightInd w:val="0"/>
        <w:spacing w:before="240"/>
        <w:ind w:left="720"/>
        <w:textAlignment w:val="baseline"/>
        <w:rPr>
          <w:i/>
          <w:strike w:val="0"/>
        </w:rPr>
      </w:pPr>
      <w:r>
        <w:rPr>
          <w:i/>
          <w:strike w:val="0"/>
        </w:rPr>
        <w:t>S</w:t>
      </w:r>
      <w:r w:rsidR="003D18A3">
        <w:rPr>
          <w:i/>
          <w:strike w:val="0"/>
        </w:rPr>
        <w:t xml:space="preserve">ee </w:t>
      </w:r>
      <w:r>
        <w:rPr>
          <w:i/>
          <w:strike w:val="0"/>
        </w:rPr>
        <w:t xml:space="preserve">also </w:t>
      </w:r>
      <w:r w:rsidR="003D18A3">
        <w:rPr>
          <w:i/>
          <w:strike w:val="0"/>
        </w:rPr>
        <w:t>comment on (a</w:t>
      </w:r>
      <w:proofErr w:type="gramStart"/>
      <w:r w:rsidR="003D18A3">
        <w:rPr>
          <w:i/>
          <w:strike w:val="0"/>
        </w:rPr>
        <w:t>)(</w:t>
      </w:r>
      <w:proofErr w:type="gramEnd"/>
      <w:r w:rsidR="003D18A3">
        <w:rPr>
          <w:i/>
          <w:strike w:val="0"/>
        </w:rPr>
        <w:t>19).</w:t>
      </w:r>
    </w:p>
    <w:p w:rsidR="00C609F7" w:rsidRPr="009E5022" w:rsidRDefault="00C609F7" w:rsidP="00E63BAE">
      <w:pPr>
        <w:overflowPunct w:val="0"/>
        <w:adjustRightInd w:val="0"/>
        <w:spacing w:before="240"/>
        <w:ind w:left="720"/>
        <w:textAlignment w:val="baseline"/>
        <w:rPr>
          <w:i/>
          <w:strike w:val="0"/>
        </w:rPr>
      </w:pPr>
      <w:r>
        <w:rPr>
          <w:i/>
          <w:strike w:val="0"/>
        </w:rPr>
        <w:t xml:space="preserve">If </w:t>
      </w:r>
      <w:r w:rsidR="000A12A8">
        <w:rPr>
          <w:i/>
          <w:strike w:val="0"/>
        </w:rPr>
        <w:t xml:space="preserve">this recommendation is </w:t>
      </w:r>
      <w:r>
        <w:rPr>
          <w:i/>
          <w:strike w:val="0"/>
        </w:rPr>
        <w:t>accepted, the definitions in this section will need to be re-ordered alphabetically.</w:t>
      </w:r>
    </w:p>
    <w:p w:rsidR="0024252B" w:rsidRPr="002809B5" w:rsidRDefault="006C5FA1" w:rsidP="00E63BAE">
      <w:pPr>
        <w:overflowPunct w:val="0"/>
        <w:adjustRightInd w:val="0"/>
        <w:spacing w:before="240"/>
        <w:textAlignment w:val="baseline"/>
        <w:rPr>
          <w:strike w:val="0"/>
          <w:u w:val="single"/>
        </w:rPr>
      </w:pPr>
      <w:r w:rsidRPr="004E6C30">
        <w:rPr>
          <w:strike w:val="0"/>
          <w:highlight w:val="yellow"/>
          <w:u w:val="single"/>
        </w:rPr>
        <w:t>(a)</w:t>
      </w:r>
      <w:r w:rsidR="0028709F" w:rsidRPr="004E6C30">
        <w:rPr>
          <w:strike w:val="0"/>
          <w:highlight w:val="yellow"/>
          <w:u w:val="single"/>
        </w:rPr>
        <w:t xml:space="preserve">(37) </w:t>
      </w:r>
      <w:r w:rsidR="00E3016C" w:rsidRPr="004E6C30">
        <w:rPr>
          <w:strike w:val="0"/>
          <w:highlight w:val="yellow"/>
          <w:u w:val="single"/>
        </w:rPr>
        <w:t>“</w:t>
      </w:r>
      <w:r w:rsidR="002809B5" w:rsidRPr="004E6C30">
        <w:rPr>
          <w:strike w:val="0"/>
          <w:highlight w:val="yellow"/>
          <w:u w:val="single"/>
        </w:rPr>
        <w:t>Primary care physician</w:t>
      </w:r>
      <w:r w:rsidR="00E3016C" w:rsidRPr="004E6C30">
        <w:rPr>
          <w:strike w:val="0"/>
          <w:highlight w:val="yellow"/>
          <w:u w:val="single"/>
        </w:rPr>
        <w:t>”</w:t>
      </w:r>
      <w:r w:rsidR="002809B5" w:rsidRPr="004E6C30">
        <w:rPr>
          <w:strike w:val="0"/>
          <w:highlight w:val="yellow"/>
          <w:u w:val="single"/>
        </w:rPr>
        <w:t xml:space="preserve"> means a physician who has limited his or her practice of medicine to general practice or who is a board-certified or board-eligible internist, pediatrician, obstetrician-gynecologist or family practitioner.”</w:t>
      </w:r>
    </w:p>
    <w:p w:rsidR="00C609F7" w:rsidRDefault="009E5022" w:rsidP="00E63BAE">
      <w:pPr>
        <w:overflowPunct w:val="0"/>
        <w:adjustRightInd w:val="0"/>
        <w:spacing w:before="240"/>
        <w:ind w:left="720"/>
        <w:textAlignment w:val="baseline"/>
        <w:rPr>
          <w:i/>
          <w:strike w:val="0"/>
        </w:rPr>
      </w:pPr>
      <w:r>
        <w:rPr>
          <w:i/>
          <w:strike w:val="0"/>
        </w:rPr>
        <w:t xml:space="preserve">This definition is adapted from the definition in </w:t>
      </w:r>
      <w:r w:rsidR="005A5DC2">
        <w:rPr>
          <w:i/>
          <w:strike w:val="0"/>
        </w:rPr>
        <w:t xml:space="preserve">the </w:t>
      </w:r>
      <w:r>
        <w:rPr>
          <w:i/>
          <w:strike w:val="0"/>
        </w:rPr>
        <w:t xml:space="preserve">Insurance </w:t>
      </w:r>
      <w:r w:rsidR="005A5DC2">
        <w:rPr>
          <w:i/>
          <w:strike w:val="0"/>
        </w:rPr>
        <w:t>Commissioner’s regulation</w:t>
      </w:r>
      <w:r w:rsidR="005A5DC2" w:rsidRPr="005A5DC2">
        <w:rPr>
          <w:bCs/>
          <w:i/>
          <w:strike w:val="0"/>
        </w:rPr>
        <w:t xml:space="preserve"> </w:t>
      </w:r>
      <w:r w:rsidR="005A5DC2">
        <w:rPr>
          <w:bCs/>
          <w:i/>
          <w:strike w:val="0"/>
        </w:rPr>
        <w:t xml:space="preserve">Title 10, CCR, section </w:t>
      </w:r>
      <w:r w:rsidR="00BF3274">
        <w:rPr>
          <w:i/>
          <w:strike w:val="0"/>
        </w:rPr>
        <w:t>2240(k)</w:t>
      </w:r>
      <w:r w:rsidR="003664CA">
        <w:rPr>
          <w:i/>
          <w:strike w:val="0"/>
        </w:rPr>
        <w:t xml:space="preserve">.   </w:t>
      </w:r>
      <w:r w:rsidR="003664CA">
        <w:rPr>
          <w:bCs/>
          <w:i/>
          <w:strike w:val="0"/>
        </w:rPr>
        <w:t xml:space="preserve">Title 10, CCR, section </w:t>
      </w:r>
      <w:r w:rsidR="005A5DC2">
        <w:rPr>
          <w:bCs/>
          <w:i/>
          <w:strike w:val="0"/>
        </w:rPr>
        <w:t xml:space="preserve">2240.1(c) addresses time/distance provider network access standards that the Insurance Commissioner requires for disability policies and agreements.  </w:t>
      </w:r>
      <w:r>
        <w:rPr>
          <w:i/>
          <w:strike w:val="0"/>
        </w:rPr>
        <w:t xml:space="preserve"> </w:t>
      </w:r>
      <w:r w:rsidR="008304A8">
        <w:rPr>
          <w:i/>
          <w:strike w:val="0"/>
        </w:rPr>
        <w:t>S</w:t>
      </w:r>
      <w:r>
        <w:rPr>
          <w:i/>
          <w:strike w:val="0"/>
        </w:rPr>
        <w:t xml:space="preserve">ection 2240(k), is necessary </w:t>
      </w:r>
      <w:r w:rsidR="00AD4927">
        <w:rPr>
          <w:i/>
          <w:strike w:val="0"/>
        </w:rPr>
        <w:t>to implement</w:t>
      </w:r>
      <w:r>
        <w:rPr>
          <w:i/>
          <w:strike w:val="0"/>
        </w:rPr>
        <w:t xml:space="preserve"> the </w:t>
      </w:r>
      <w:r w:rsidR="00CB1E3E">
        <w:rPr>
          <w:i/>
          <w:strike w:val="0"/>
        </w:rPr>
        <w:t xml:space="preserve">Institute’s </w:t>
      </w:r>
      <w:r>
        <w:rPr>
          <w:i/>
          <w:strike w:val="0"/>
        </w:rPr>
        <w:t>recommendation</w:t>
      </w:r>
      <w:r w:rsidR="00CB1E3E">
        <w:rPr>
          <w:i/>
          <w:strike w:val="0"/>
        </w:rPr>
        <w:t xml:space="preserve"> </w:t>
      </w:r>
      <w:r w:rsidR="004A278A">
        <w:rPr>
          <w:i/>
          <w:strike w:val="0"/>
        </w:rPr>
        <w:t>t</w:t>
      </w:r>
      <w:r w:rsidR="00CB1E3E">
        <w:rPr>
          <w:i/>
          <w:strike w:val="0"/>
        </w:rPr>
        <w:t>o apply th</w:t>
      </w:r>
      <w:r w:rsidR="003664CA">
        <w:rPr>
          <w:i/>
          <w:strike w:val="0"/>
        </w:rPr>
        <w:t>os</w:t>
      </w:r>
      <w:r w:rsidR="00CB1E3E">
        <w:rPr>
          <w:i/>
          <w:strike w:val="0"/>
        </w:rPr>
        <w:t>e time and distance access network standard for primary care physicians</w:t>
      </w:r>
      <w:r>
        <w:rPr>
          <w:i/>
          <w:strike w:val="0"/>
        </w:rPr>
        <w:t xml:space="preserve"> </w:t>
      </w:r>
      <w:r w:rsidR="00CB1E3E">
        <w:rPr>
          <w:i/>
          <w:strike w:val="0"/>
        </w:rPr>
        <w:t>in section 9767.5(b)</w:t>
      </w:r>
      <w:r w:rsidR="004A278A">
        <w:rPr>
          <w:i/>
          <w:strike w:val="0"/>
        </w:rPr>
        <w:t xml:space="preserve">.  </w:t>
      </w:r>
    </w:p>
    <w:p w:rsidR="009E5022" w:rsidRPr="009E5022" w:rsidRDefault="004A278A" w:rsidP="00E63BAE">
      <w:pPr>
        <w:overflowPunct w:val="0"/>
        <w:adjustRightInd w:val="0"/>
        <w:spacing w:before="240"/>
        <w:ind w:left="720"/>
        <w:textAlignment w:val="baseline"/>
        <w:rPr>
          <w:i/>
          <w:strike w:val="0"/>
        </w:rPr>
      </w:pPr>
      <w:r>
        <w:rPr>
          <w:i/>
          <w:strike w:val="0"/>
        </w:rPr>
        <w:t>If accepted, the definitions in this section will need to be re-ordered alphabetically.</w:t>
      </w:r>
    </w:p>
    <w:p w:rsidR="009E5022" w:rsidRDefault="009E5022" w:rsidP="002C36D6">
      <w:pPr>
        <w:overflowPunct w:val="0"/>
        <w:adjustRightInd w:val="0"/>
        <w:textAlignment w:val="baseline"/>
        <w:rPr>
          <w:b/>
          <w:strike w:val="0"/>
        </w:rPr>
      </w:pPr>
    </w:p>
    <w:p w:rsidR="002C36D6" w:rsidRDefault="002C36D6" w:rsidP="002C36D6">
      <w:pPr>
        <w:overflowPunct w:val="0"/>
        <w:adjustRightInd w:val="0"/>
        <w:textAlignment w:val="baseline"/>
        <w:rPr>
          <w:b/>
          <w:strike w:val="0"/>
        </w:rPr>
      </w:pPr>
    </w:p>
    <w:p w:rsidR="008261A9" w:rsidRPr="00EF29A0" w:rsidRDefault="008261A9" w:rsidP="00F50F16">
      <w:pPr>
        <w:overflowPunct w:val="0"/>
        <w:adjustRightInd w:val="0"/>
        <w:ind w:right="-270"/>
        <w:textAlignment w:val="baseline"/>
        <w:rPr>
          <w:b/>
          <w:strike w:val="0"/>
          <w:u w:val="single"/>
        </w:rPr>
      </w:pPr>
      <w:r w:rsidRPr="00EF29A0">
        <w:rPr>
          <w:b/>
          <w:strike w:val="0"/>
        </w:rPr>
        <w:t xml:space="preserve">Section 9767.2 Review of Medical Provider Network Application or </w:t>
      </w:r>
      <w:r w:rsidR="00111B2F">
        <w:rPr>
          <w:b/>
          <w:strike w:val="0"/>
        </w:rPr>
        <w:t>Plan</w:t>
      </w:r>
      <w:r w:rsidRPr="00EF29A0">
        <w:rPr>
          <w:b/>
          <w:strike w:val="0"/>
        </w:rPr>
        <w:t xml:space="preserve"> for Reapproval</w:t>
      </w:r>
    </w:p>
    <w:p w:rsidR="008261A9" w:rsidRPr="00EF29A0" w:rsidRDefault="008261A9" w:rsidP="00E63BAE">
      <w:pPr>
        <w:overflowPunct w:val="0"/>
        <w:adjustRightInd w:val="0"/>
        <w:textAlignment w:val="baseline"/>
        <w:rPr>
          <w:strike w:val="0"/>
        </w:rPr>
      </w:pPr>
    </w:p>
    <w:p w:rsidR="00850E34" w:rsidRPr="00850E34" w:rsidRDefault="00850E34" w:rsidP="00850E34">
      <w:pPr>
        <w:rPr>
          <w:strike w:val="0"/>
          <w:color w:val="000000"/>
        </w:rPr>
      </w:pPr>
      <w:r w:rsidRPr="00850E34">
        <w:rPr>
          <w:strike w:val="0"/>
          <w:color w:val="000000"/>
        </w:rPr>
        <w:t xml:space="preserve">(b) Within </w:t>
      </w:r>
      <w:r w:rsidRPr="00850E34">
        <w:rPr>
          <w:color w:val="000000"/>
          <w:highlight w:val="yellow"/>
        </w:rPr>
        <w:t xml:space="preserve">180 </w:t>
      </w:r>
      <w:r w:rsidR="00B43D7B">
        <w:rPr>
          <w:strike w:val="0"/>
          <w:color w:val="000000"/>
          <w:highlight w:val="yellow"/>
          <w:u w:val="single"/>
        </w:rPr>
        <w:t>6</w:t>
      </w:r>
      <w:r w:rsidRPr="00850E34">
        <w:rPr>
          <w:strike w:val="0"/>
          <w:color w:val="000000"/>
          <w:highlight w:val="yellow"/>
          <w:u w:val="single"/>
        </w:rPr>
        <w:t>0</w:t>
      </w:r>
      <w:r>
        <w:rPr>
          <w:strike w:val="0"/>
          <w:color w:val="000000"/>
          <w:u w:val="single"/>
        </w:rPr>
        <w:t xml:space="preserve"> </w:t>
      </w:r>
      <w:r w:rsidRPr="00850E34">
        <w:rPr>
          <w:strike w:val="0"/>
          <w:color w:val="000000"/>
        </w:rPr>
        <w:t xml:space="preserve">days of the Administrative Director’s receipt of a complete plan for reapproval, the Administrative Director shall approve for a four-year period or disapprove the complete plan for </w:t>
      </w:r>
      <w:proofErr w:type="spellStart"/>
      <w:r w:rsidRPr="00850E34">
        <w:rPr>
          <w:color w:val="000000"/>
          <w:highlight w:val="yellow"/>
        </w:rPr>
        <w:t>reapprovel</w:t>
      </w:r>
      <w:proofErr w:type="spellEnd"/>
      <w:r w:rsidRPr="00850E34">
        <w:rPr>
          <w:color w:val="000000"/>
          <w:highlight w:val="yellow"/>
        </w:rPr>
        <w:t xml:space="preserve"> </w:t>
      </w:r>
      <w:proofErr w:type="spellStart"/>
      <w:r w:rsidRPr="00850E34">
        <w:rPr>
          <w:strike w:val="0"/>
          <w:color w:val="000000"/>
          <w:highlight w:val="yellow"/>
          <w:u w:val="single"/>
        </w:rPr>
        <w:t>reapproval</w:t>
      </w:r>
      <w:proofErr w:type="spellEnd"/>
      <w:r>
        <w:rPr>
          <w:strike w:val="0"/>
          <w:color w:val="000000"/>
        </w:rPr>
        <w:t xml:space="preserve"> </w:t>
      </w:r>
      <w:r w:rsidRPr="00850E34">
        <w:rPr>
          <w:strike w:val="0"/>
          <w:color w:val="000000"/>
        </w:rPr>
        <w:t xml:space="preserve">based on the requirement of Labor Code section 4616 et seq. and this article.  A plan for reapproval shall be considered complete if it includes correct information responsive to each applicable subdivision of section 9767.3.  If the Administrative Director has not acted within </w:t>
      </w:r>
      <w:r w:rsidRPr="00850E34">
        <w:rPr>
          <w:color w:val="000000"/>
          <w:highlight w:val="yellow"/>
        </w:rPr>
        <w:t xml:space="preserve">180 </w:t>
      </w:r>
      <w:r w:rsidR="00B43D7B">
        <w:rPr>
          <w:strike w:val="0"/>
          <w:color w:val="000000"/>
          <w:highlight w:val="yellow"/>
          <w:u w:val="single"/>
        </w:rPr>
        <w:t>6</w:t>
      </w:r>
      <w:r w:rsidRPr="00850E34">
        <w:rPr>
          <w:strike w:val="0"/>
          <w:color w:val="000000"/>
          <w:highlight w:val="yellow"/>
          <w:u w:val="single"/>
        </w:rPr>
        <w:t>0</w:t>
      </w:r>
      <w:r>
        <w:rPr>
          <w:strike w:val="0"/>
          <w:color w:val="000000"/>
          <w:u w:val="single"/>
        </w:rPr>
        <w:t xml:space="preserve"> </w:t>
      </w:r>
      <w:r w:rsidRPr="00850E34">
        <w:rPr>
          <w:strike w:val="0"/>
          <w:color w:val="000000"/>
        </w:rPr>
        <w:t xml:space="preserve">days of receipt of a complete plan for reapproval, it shall be deemed approved on the </w:t>
      </w:r>
      <w:r w:rsidRPr="00850E34">
        <w:rPr>
          <w:color w:val="000000"/>
          <w:highlight w:val="yellow"/>
          <w:u w:val="single"/>
        </w:rPr>
        <w:t>181</w:t>
      </w:r>
      <w:r w:rsidR="00B43D7B">
        <w:rPr>
          <w:strike w:val="0"/>
          <w:color w:val="000000"/>
          <w:highlight w:val="yellow"/>
          <w:u w:val="single"/>
        </w:rPr>
        <w:t>6</w:t>
      </w:r>
      <w:r w:rsidRPr="00850E34">
        <w:rPr>
          <w:strike w:val="0"/>
          <w:color w:val="000000"/>
          <w:highlight w:val="yellow"/>
          <w:u w:val="single"/>
        </w:rPr>
        <w:t>1</w:t>
      </w:r>
      <w:r w:rsidRPr="00850E34">
        <w:rPr>
          <w:strike w:val="0"/>
          <w:color w:val="000000"/>
        </w:rPr>
        <w:t xml:space="preserve">st day for a period of four years. </w:t>
      </w:r>
    </w:p>
    <w:p w:rsidR="00850E34" w:rsidRDefault="00850E34" w:rsidP="008B166C">
      <w:pPr>
        <w:autoSpaceDE/>
        <w:autoSpaceDN/>
        <w:rPr>
          <w:strike w:val="0"/>
          <w:color w:val="000000"/>
        </w:rPr>
      </w:pPr>
    </w:p>
    <w:p w:rsidR="00850E34" w:rsidRDefault="00BB15B4" w:rsidP="00BB15B4">
      <w:pPr>
        <w:autoSpaceDE/>
        <w:autoSpaceDN/>
        <w:ind w:left="720"/>
        <w:rPr>
          <w:i/>
          <w:strike w:val="0"/>
          <w:color w:val="000000"/>
        </w:rPr>
      </w:pPr>
      <w:r>
        <w:rPr>
          <w:i/>
          <w:strike w:val="0"/>
          <w:color w:val="000000"/>
        </w:rPr>
        <w:t xml:space="preserve">It is not necessary for the Administrative Director to allow six months for </w:t>
      </w:r>
      <w:r w:rsidR="00D32D38">
        <w:rPr>
          <w:i/>
          <w:strike w:val="0"/>
          <w:color w:val="000000"/>
        </w:rPr>
        <w:t xml:space="preserve">a review of a complete plan for MPN approval.  </w:t>
      </w:r>
      <w:r w:rsidR="002E7C3E">
        <w:rPr>
          <w:i/>
          <w:strike w:val="0"/>
          <w:color w:val="000000"/>
        </w:rPr>
        <w:t>M</w:t>
      </w:r>
      <w:r w:rsidR="00D32D38">
        <w:rPr>
          <w:i/>
          <w:strike w:val="0"/>
          <w:color w:val="000000"/>
        </w:rPr>
        <w:t xml:space="preserve">ore than </w:t>
      </w:r>
      <w:r w:rsidR="00B43D7B">
        <w:rPr>
          <w:i/>
          <w:strike w:val="0"/>
          <w:color w:val="000000"/>
        </w:rPr>
        <w:t>6</w:t>
      </w:r>
      <w:r w:rsidR="00D32D38">
        <w:rPr>
          <w:i/>
          <w:strike w:val="0"/>
          <w:color w:val="000000"/>
        </w:rPr>
        <w:t xml:space="preserve">0 days </w:t>
      </w:r>
      <w:r w:rsidR="002E7C3E">
        <w:rPr>
          <w:i/>
          <w:strike w:val="0"/>
          <w:color w:val="000000"/>
        </w:rPr>
        <w:t xml:space="preserve">is not needed </w:t>
      </w:r>
      <w:r w:rsidR="00D32D38">
        <w:rPr>
          <w:i/>
          <w:strike w:val="0"/>
          <w:color w:val="000000"/>
        </w:rPr>
        <w:t xml:space="preserve">for </w:t>
      </w:r>
      <w:r w:rsidR="00AD184C">
        <w:rPr>
          <w:i/>
          <w:strike w:val="0"/>
          <w:color w:val="000000"/>
        </w:rPr>
        <w:t xml:space="preserve">such </w:t>
      </w:r>
      <w:r w:rsidR="00D32D38">
        <w:rPr>
          <w:i/>
          <w:strike w:val="0"/>
          <w:color w:val="000000"/>
        </w:rPr>
        <w:t xml:space="preserve">review and approval.  </w:t>
      </w:r>
      <w:r w:rsidR="002E7C3E">
        <w:rPr>
          <w:i/>
          <w:strike w:val="0"/>
          <w:color w:val="000000"/>
        </w:rPr>
        <w:t>Only 60 days is allowed for review of a new application and t</w:t>
      </w:r>
      <w:r w:rsidR="007E6BC7">
        <w:rPr>
          <w:i/>
          <w:strike w:val="0"/>
          <w:color w:val="000000"/>
        </w:rPr>
        <w:t xml:space="preserve">he time needed to review of a plan for reapproval is expected to take less time than </w:t>
      </w:r>
      <w:r w:rsidR="002E7C3E">
        <w:rPr>
          <w:i/>
          <w:strike w:val="0"/>
          <w:color w:val="000000"/>
        </w:rPr>
        <w:t>for</w:t>
      </w:r>
      <w:r w:rsidR="007E6BC7">
        <w:rPr>
          <w:i/>
          <w:strike w:val="0"/>
          <w:color w:val="000000"/>
        </w:rPr>
        <w:t xml:space="preserve"> a new application.  </w:t>
      </w:r>
      <w:r w:rsidR="00AD184C">
        <w:rPr>
          <w:i/>
          <w:strike w:val="0"/>
          <w:color w:val="000000"/>
        </w:rPr>
        <w:t xml:space="preserve">A plan for reapproval that waits six months for approval may become </w:t>
      </w:r>
      <w:r w:rsidR="002E7C3E">
        <w:rPr>
          <w:i/>
          <w:strike w:val="0"/>
          <w:color w:val="000000"/>
        </w:rPr>
        <w:t xml:space="preserve">outdated or </w:t>
      </w:r>
      <w:r w:rsidR="00AD184C">
        <w:rPr>
          <w:i/>
          <w:strike w:val="0"/>
          <w:color w:val="000000"/>
        </w:rPr>
        <w:t>obsolete before it is approved.</w:t>
      </w:r>
      <w:r w:rsidR="00D32D38">
        <w:rPr>
          <w:i/>
          <w:strike w:val="0"/>
          <w:color w:val="000000"/>
        </w:rPr>
        <w:t xml:space="preserve">  </w:t>
      </w:r>
    </w:p>
    <w:p w:rsidR="00D32D38" w:rsidRPr="00BB15B4" w:rsidRDefault="00D32D38" w:rsidP="00BB15B4">
      <w:pPr>
        <w:autoSpaceDE/>
        <w:autoSpaceDN/>
        <w:ind w:left="720"/>
        <w:rPr>
          <w:i/>
          <w:strike w:val="0"/>
          <w:color w:val="000000"/>
        </w:rPr>
      </w:pPr>
    </w:p>
    <w:p w:rsidR="00003DFD" w:rsidRDefault="00003DFD" w:rsidP="00E63BAE">
      <w:pPr>
        <w:tabs>
          <w:tab w:val="left" w:pos="2133"/>
        </w:tabs>
        <w:overflowPunct w:val="0"/>
        <w:adjustRightInd w:val="0"/>
        <w:textAlignment w:val="baseline"/>
        <w:rPr>
          <w:b/>
          <w:strike w:val="0"/>
        </w:rPr>
      </w:pPr>
    </w:p>
    <w:p w:rsidR="008261A9" w:rsidRPr="00EF29A0" w:rsidRDefault="008261A9" w:rsidP="00E63BAE">
      <w:pPr>
        <w:overflowPunct w:val="0"/>
        <w:adjustRightInd w:val="0"/>
        <w:textAlignment w:val="baseline"/>
        <w:rPr>
          <w:b/>
          <w:strike w:val="0"/>
        </w:rPr>
      </w:pPr>
      <w:r w:rsidRPr="00EF29A0">
        <w:rPr>
          <w:b/>
          <w:strike w:val="0"/>
        </w:rPr>
        <w:t>Section 9767.3</w:t>
      </w:r>
      <w:r w:rsidRPr="00EF29A0">
        <w:rPr>
          <w:strike w:val="0"/>
        </w:rPr>
        <w:t xml:space="preserve"> </w:t>
      </w:r>
      <w:r w:rsidR="00D972B1">
        <w:rPr>
          <w:b/>
          <w:strike w:val="0"/>
        </w:rPr>
        <w:t>Requirements</w:t>
      </w:r>
      <w:r w:rsidRPr="00EF29A0">
        <w:rPr>
          <w:b/>
          <w:strike w:val="0"/>
        </w:rPr>
        <w:t xml:space="preserve"> for a Medical Provider Network Plan</w:t>
      </w:r>
    </w:p>
    <w:p w:rsidR="008261A9" w:rsidRPr="00EF29A0" w:rsidRDefault="008261A9" w:rsidP="00E63BAE">
      <w:pPr>
        <w:overflowPunct w:val="0"/>
        <w:adjustRightInd w:val="0"/>
        <w:textAlignment w:val="baseline"/>
        <w:rPr>
          <w:strike w:val="0"/>
        </w:rPr>
      </w:pPr>
    </w:p>
    <w:p w:rsidR="0093196F" w:rsidRDefault="0093196F" w:rsidP="00E63BAE">
      <w:pPr>
        <w:autoSpaceDE/>
        <w:autoSpaceDN/>
        <w:rPr>
          <w:strike w:val="0"/>
          <w:color w:val="000000"/>
        </w:rPr>
      </w:pPr>
      <w:r w:rsidRPr="0093196F">
        <w:rPr>
          <w:strike w:val="0"/>
          <w:color w:val="000000"/>
        </w:rPr>
        <w:t xml:space="preserve">(a) As long as the application for a medical provider network plan meets the requirements of Labor Code section 4616 et seq. and this article, nothing in this section precludes </w:t>
      </w:r>
      <w:r w:rsidRPr="0093196F">
        <w:rPr>
          <w:color w:val="000000"/>
          <w:highlight w:val="yellow"/>
        </w:rPr>
        <w:t xml:space="preserve">an employer or insurer </w:t>
      </w:r>
      <w:r w:rsidRPr="0093196F">
        <w:rPr>
          <w:strike w:val="0"/>
          <w:color w:val="000000"/>
          <w:highlight w:val="yellow"/>
          <w:u w:val="single"/>
        </w:rPr>
        <w:t>a claims administrator</w:t>
      </w:r>
      <w:r>
        <w:rPr>
          <w:strike w:val="0"/>
          <w:color w:val="000000"/>
          <w:u w:val="single"/>
        </w:rPr>
        <w:t xml:space="preserve"> </w:t>
      </w:r>
      <w:r w:rsidRPr="0093196F">
        <w:rPr>
          <w:strike w:val="0"/>
        </w:rPr>
        <w:t xml:space="preserve">or entity that provides physician network services </w:t>
      </w:r>
      <w:r w:rsidRPr="0093196F">
        <w:rPr>
          <w:strike w:val="0"/>
          <w:color w:val="000000"/>
        </w:rPr>
        <w:t>from submitting for approval one or more medical provider network plans in its application.</w:t>
      </w:r>
      <w:r w:rsidR="00AE7EDA">
        <w:rPr>
          <w:strike w:val="0"/>
          <w:u w:val="single"/>
        </w:rPr>
        <w:t xml:space="preserve"> </w:t>
      </w:r>
    </w:p>
    <w:p w:rsidR="00AE3D9F" w:rsidRPr="00EF29A0" w:rsidRDefault="00AE3D9F" w:rsidP="00E63BAE">
      <w:pPr>
        <w:overflowPunct w:val="0"/>
        <w:adjustRightInd w:val="0"/>
        <w:spacing w:before="240"/>
        <w:ind w:left="720"/>
        <w:textAlignment w:val="baseline"/>
        <w:rPr>
          <w:i/>
          <w:strike w:val="0"/>
        </w:rPr>
      </w:pPr>
      <w:r>
        <w:rPr>
          <w:i/>
          <w:strike w:val="0"/>
        </w:rPr>
        <w:t>T</w:t>
      </w:r>
      <w:r w:rsidRPr="00F83431">
        <w:rPr>
          <w:i/>
          <w:strike w:val="0"/>
        </w:rPr>
        <w:t>he</w:t>
      </w:r>
      <w:r>
        <w:rPr>
          <w:i/>
          <w:strike w:val="0"/>
        </w:rPr>
        <w:t xml:space="preserve"> recommended</w:t>
      </w:r>
      <w:r w:rsidRPr="00F83431">
        <w:rPr>
          <w:i/>
          <w:strike w:val="0"/>
        </w:rPr>
        <w:t xml:space="preserve"> </w:t>
      </w:r>
      <w:r>
        <w:rPr>
          <w:i/>
          <w:strike w:val="0"/>
        </w:rPr>
        <w:t>language</w:t>
      </w:r>
      <w:r w:rsidRPr="00F83431">
        <w:rPr>
          <w:i/>
          <w:strike w:val="0"/>
        </w:rPr>
        <w:t xml:space="preserve"> </w:t>
      </w:r>
      <w:r>
        <w:rPr>
          <w:i/>
          <w:strike w:val="0"/>
        </w:rPr>
        <w:t xml:space="preserve">will </w:t>
      </w:r>
      <w:r w:rsidR="00DB7F5E">
        <w:rPr>
          <w:i/>
          <w:strike w:val="0"/>
        </w:rPr>
        <w:t xml:space="preserve">allow </w:t>
      </w:r>
      <w:r w:rsidR="006B5B04">
        <w:rPr>
          <w:i/>
          <w:strike w:val="0"/>
        </w:rPr>
        <w:t xml:space="preserve">a </w:t>
      </w:r>
      <w:r w:rsidR="00DB7F5E">
        <w:rPr>
          <w:i/>
          <w:strike w:val="0"/>
        </w:rPr>
        <w:t xml:space="preserve">TPA </w:t>
      </w:r>
      <w:r w:rsidR="006621C2">
        <w:rPr>
          <w:i/>
          <w:strike w:val="0"/>
        </w:rPr>
        <w:t xml:space="preserve">to submit an application for </w:t>
      </w:r>
      <w:r w:rsidR="00B233B1">
        <w:rPr>
          <w:i/>
          <w:strike w:val="0"/>
        </w:rPr>
        <w:t xml:space="preserve">one or more MPNs </w:t>
      </w:r>
      <w:r w:rsidR="006B5B04">
        <w:rPr>
          <w:i/>
          <w:strike w:val="0"/>
        </w:rPr>
        <w:t>that can be used by its clients</w:t>
      </w:r>
      <w:r w:rsidR="00B233B1">
        <w:rPr>
          <w:i/>
          <w:strike w:val="0"/>
        </w:rPr>
        <w:t xml:space="preserve">. </w:t>
      </w:r>
      <w:r w:rsidR="006B5B04">
        <w:rPr>
          <w:i/>
          <w:strike w:val="0"/>
        </w:rPr>
        <w:t xml:space="preserve">This will </w:t>
      </w:r>
      <w:r>
        <w:rPr>
          <w:i/>
          <w:strike w:val="0"/>
        </w:rPr>
        <w:t>eliminate unnecessary duplicate filings</w:t>
      </w:r>
      <w:r w:rsidRPr="00F83431">
        <w:rPr>
          <w:i/>
          <w:strike w:val="0"/>
        </w:rPr>
        <w:t>.</w:t>
      </w:r>
      <w:r>
        <w:rPr>
          <w:i/>
          <w:strike w:val="0"/>
        </w:rPr>
        <w:t xml:space="preserve">  </w:t>
      </w:r>
      <w:r w:rsidR="00BC2C50">
        <w:rPr>
          <w:i/>
          <w:strike w:val="0"/>
        </w:rPr>
        <w:t>See also the comments regarding 9767.1(a</w:t>
      </w:r>
      <w:proofErr w:type="gramStart"/>
      <w:r w:rsidR="00BC2C50">
        <w:rPr>
          <w:i/>
          <w:strike w:val="0"/>
        </w:rPr>
        <w:t>)(</w:t>
      </w:r>
      <w:proofErr w:type="gramEnd"/>
      <w:r w:rsidR="00BC2C50">
        <w:rPr>
          <w:i/>
          <w:strike w:val="0"/>
        </w:rPr>
        <w:t xml:space="preserve">35) and 9767.1(a)(19).  </w:t>
      </w:r>
    </w:p>
    <w:p w:rsidR="008261A9" w:rsidRDefault="008261A9" w:rsidP="00E63BAE">
      <w:pPr>
        <w:overflowPunct w:val="0"/>
        <w:adjustRightInd w:val="0"/>
        <w:textAlignment w:val="baseline"/>
        <w:rPr>
          <w:bCs/>
          <w:i/>
          <w:strike w:val="0"/>
          <w:u w:val="double"/>
        </w:rPr>
      </w:pPr>
    </w:p>
    <w:p w:rsidR="00504DDA" w:rsidRPr="00504DDA" w:rsidRDefault="00504DDA" w:rsidP="00504DDA">
      <w:pPr>
        <w:autoSpaceDE/>
        <w:rPr>
          <w:strike w:val="0"/>
          <w:color w:val="000000"/>
        </w:rPr>
      </w:pPr>
      <w:r w:rsidRPr="00504DDA">
        <w:rPr>
          <w:strike w:val="0"/>
          <w:color w:val="000000"/>
        </w:rPr>
        <w:t xml:space="preserve">(c) All MPN applicants shall complete the section 9767.4 Cover Page for Medical Provider Network Application </w:t>
      </w:r>
      <w:r w:rsidRPr="00504DDA">
        <w:rPr>
          <w:strike w:val="0"/>
        </w:rPr>
        <w:t xml:space="preserve">or Plan for Reapproval </w:t>
      </w:r>
      <w:r w:rsidRPr="00504DDA">
        <w:rPr>
          <w:strike w:val="0"/>
          <w:color w:val="000000"/>
        </w:rPr>
        <w:t xml:space="preserve">with an original signature, </w:t>
      </w:r>
      <w:r w:rsidRPr="00504DDA">
        <w:rPr>
          <w:strike w:val="0"/>
        </w:rPr>
        <w:t>and an MPN Plan meeting the requirements of this section or the optional MPN Application form</w:t>
      </w:r>
      <w:r w:rsidRPr="00504DDA">
        <w:rPr>
          <w:strike w:val="0"/>
          <w:color w:val="000000"/>
        </w:rPr>
        <w:t>.</w:t>
      </w:r>
      <w:bookmarkStart w:id="0" w:name="I30583422CF0111E2A3BEAE4168993EE1"/>
      <w:bookmarkStart w:id="1" w:name="I30583423CF0111E2A3BEAE4168993EE1"/>
      <w:bookmarkEnd w:id="0"/>
      <w:bookmarkEnd w:id="1"/>
      <w:r w:rsidRPr="00504DDA">
        <w:rPr>
          <w:strike w:val="0"/>
          <w:color w:val="000000"/>
        </w:rPr>
        <w:t xml:space="preserve"> </w:t>
      </w:r>
      <w:r w:rsidRPr="00504DDA">
        <w:rPr>
          <w:strike w:val="0"/>
        </w:rPr>
        <w:t xml:space="preserve">The completed application or plan documents and a copy of the completed documents shall be submitted in word-searchable PDF format on a computer disk, CD ROM, or flash drive with an original signature on the Cover Page for Medical Provider Network Application or Plan for Reapproval.  Electronic signatures in compliance with California Government Code section 16.5 are accepted.  The hard copy of the original signed cover page shall be maintained by the MPN applicant and made available for review by the Administrative Director upon request.  </w:t>
      </w:r>
    </w:p>
    <w:p w:rsidR="00C41AE7" w:rsidRDefault="00C41AE7" w:rsidP="00C41AE7">
      <w:pPr>
        <w:autoSpaceDE/>
        <w:autoSpaceDN/>
        <w:rPr>
          <w:strike w:val="0"/>
          <w:color w:val="000000"/>
          <w:highlight w:val="yellow"/>
          <w:u w:val="single"/>
        </w:rPr>
      </w:pPr>
    </w:p>
    <w:p w:rsidR="00C41AE7" w:rsidRPr="00BA3A7C" w:rsidRDefault="00C41AE7" w:rsidP="00C41AE7">
      <w:pPr>
        <w:autoSpaceDE/>
        <w:autoSpaceDN/>
        <w:rPr>
          <w:strike w:val="0"/>
          <w:color w:val="000000"/>
          <w:u w:val="single"/>
        </w:rPr>
      </w:pPr>
      <w:r w:rsidRPr="00EC709B">
        <w:rPr>
          <w:strike w:val="0"/>
          <w:color w:val="000000"/>
          <w:highlight w:val="yellow"/>
          <w:u w:val="single"/>
        </w:rPr>
        <w:t>Nothing in this section precludes an MPN applicant from submitting an application for approval of an MPN for the benefit and use of multiple claims administrators.  If an MPN is accessed by an entity other than the MPN Applicant, the MPN application shall include a list of those entities pursuant to Section 9767.3(d</w:t>
      </w:r>
      <w:proofErr w:type="gramStart"/>
      <w:r w:rsidRPr="00EC709B">
        <w:rPr>
          <w:strike w:val="0"/>
          <w:color w:val="000000"/>
          <w:highlight w:val="yellow"/>
          <w:u w:val="single"/>
        </w:rPr>
        <w:t>)(</w:t>
      </w:r>
      <w:proofErr w:type="gramEnd"/>
      <w:r w:rsidRPr="00EC709B">
        <w:rPr>
          <w:strike w:val="0"/>
          <w:color w:val="000000"/>
          <w:highlight w:val="yellow"/>
          <w:u w:val="single"/>
        </w:rPr>
        <w:t>7).</w:t>
      </w:r>
    </w:p>
    <w:p w:rsidR="00504DDA" w:rsidRDefault="00504DDA" w:rsidP="000371E0">
      <w:pPr>
        <w:autoSpaceDE/>
        <w:autoSpaceDN/>
        <w:rPr>
          <w:strike w:val="0"/>
          <w:color w:val="000000"/>
          <w:highlight w:val="yellow"/>
          <w:u w:val="single"/>
        </w:rPr>
      </w:pPr>
    </w:p>
    <w:p w:rsidR="00F35AD1" w:rsidRDefault="008463AC" w:rsidP="008463AC">
      <w:pPr>
        <w:autoSpaceDE/>
        <w:autoSpaceDN/>
        <w:ind w:left="720"/>
        <w:rPr>
          <w:i/>
          <w:strike w:val="0"/>
          <w:color w:val="000000"/>
        </w:rPr>
      </w:pPr>
      <w:r>
        <w:rPr>
          <w:i/>
          <w:strike w:val="0"/>
          <w:color w:val="000000"/>
        </w:rPr>
        <w:t xml:space="preserve">The </w:t>
      </w:r>
      <w:r w:rsidR="00953817">
        <w:rPr>
          <w:i/>
          <w:strike w:val="0"/>
          <w:color w:val="000000"/>
        </w:rPr>
        <w:t xml:space="preserve">cover page requirements </w:t>
      </w:r>
      <w:r w:rsidR="001E504C">
        <w:rPr>
          <w:i/>
          <w:strike w:val="0"/>
          <w:color w:val="000000"/>
        </w:rPr>
        <w:t xml:space="preserve">are not clear </w:t>
      </w:r>
      <w:r w:rsidR="00953817">
        <w:rPr>
          <w:i/>
          <w:strike w:val="0"/>
          <w:color w:val="000000"/>
        </w:rPr>
        <w:t>for Applications and Plans for Reapproval</w:t>
      </w:r>
      <w:r>
        <w:rPr>
          <w:i/>
          <w:strike w:val="0"/>
          <w:color w:val="000000"/>
        </w:rPr>
        <w:t xml:space="preserve"> </w:t>
      </w:r>
      <w:r w:rsidR="00953817">
        <w:rPr>
          <w:i/>
          <w:strike w:val="0"/>
          <w:color w:val="000000"/>
        </w:rPr>
        <w:t xml:space="preserve">that </w:t>
      </w:r>
      <w:proofErr w:type="gramStart"/>
      <w:r w:rsidR="00953817">
        <w:rPr>
          <w:i/>
          <w:strike w:val="0"/>
          <w:color w:val="000000"/>
        </w:rPr>
        <w:t>are</w:t>
      </w:r>
      <w:proofErr w:type="gramEnd"/>
      <w:r w:rsidR="00953817">
        <w:rPr>
          <w:i/>
          <w:strike w:val="0"/>
          <w:color w:val="000000"/>
        </w:rPr>
        <w:t xml:space="preserve"> submitted with electronic signatures.  </w:t>
      </w:r>
      <w:r w:rsidR="001E504C">
        <w:rPr>
          <w:i/>
          <w:strike w:val="0"/>
          <w:color w:val="000000"/>
        </w:rPr>
        <w:t>The Institute suggests clarifying whether or not a hard copy with original signature must be maintained</w:t>
      </w:r>
      <w:r w:rsidR="00F35AD1">
        <w:rPr>
          <w:i/>
          <w:strike w:val="0"/>
          <w:color w:val="000000"/>
        </w:rPr>
        <w:t xml:space="preserve"> in those circumstances.</w:t>
      </w:r>
    </w:p>
    <w:p w:rsidR="00763481" w:rsidRPr="00EF29A0" w:rsidRDefault="00C41AE7" w:rsidP="00FB0D78">
      <w:pPr>
        <w:overflowPunct w:val="0"/>
        <w:adjustRightInd w:val="0"/>
        <w:spacing w:before="240"/>
        <w:ind w:left="720"/>
        <w:textAlignment w:val="baseline"/>
        <w:rPr>
          <w:i/>
          <w:strike w:val="0"/>
        </w:rPr>
      </w:pPr>
      <w:r>
        <w:rPr>
          <w:i/>
          <w:strike w:val="0"/>
        </w:rPr>
        <w:t xml:space="preserve">In addition, the Institute recommends adding the highlighted language to this section to </w:t>
      </w:r>
      <w:r w:rsidR="00A95A43">
        <w:rPr>
          <w:i/>
          <w:strike w:val="0"/>
        </w:rPr>
        <w:t>clarify that</w:t>
      </w:r>
      <w:r w:rsidR="007F54E8">
        <w:rPr>
          <w:i/>
          <w:strike w:val="0"/>
        </w:rPr>
        <w:t xml:space="preserve"> an MPN applicant </w:t>
      </w:r>
      <w:r w:rsidR="00A95A43">
        <w:rPr>
          <w:i/>
          <w:strike w:val="0"/>
        </w:rPr>
        <w:t>may</w:t>
      </w:r>
      <w:r w:rsidR="000371E0">
        <w:rPr>
          <w:i/>
          <w:strike w:val="0"/>
        </w:rPr>
        <w:t xml:space="preserve"> submit an application for </w:t>
      </w:r>
      <w:r w:rsidR="007F54E8">
        <w:rPr>
          <w:i/>
          <w:strike w:val="0"/>
        </w:rPr>
        <w:t>an</w:t>
      </w:r>
      <w:r w:rsidR="000371E0">
        <w:rPr>
          <w:i/>
          <w:strike w:val="0"/>
        </w:rPr>
        <w:t xml:space="preserve"> MPN that can be </w:t>
      </w:r>
      <w:r w:rsidR="007F54E8">
        <w:rPr>
          <w:i/>
          <w:strike w:val="0"/>
        </w:rPr>
        <w:t xml:space="preserve">accessed by multiple entities. </w:t>
      </w:r>
      <w:r w:rsidR="000371E0">
        <w:rPr>
          <w:i/>
          <w:strike w:val="0"/>
        </w:rPr>
        <w:t>This will eliminate unnecessary duplicate filings</w:t>
      </w:r>
      <w:r w:rsidR="000371E0" w:rsidRPr="00F83431">
        <w:rPr>
          <w:i/>
          <w:strike w:val="0"/>
        </w:rPr>
        <w:t>.</w:t>
      </w:r>
      <w:r w:rsidR="000371E0">
        <w:rPr>
          <w:i/>
          <w:strike w:val="0"/>
        </w:rPr>
        <w:t xml:space="preserve">  </w:t>
      </w:r>
    </w:p>
    <w:p w:rsidR="000371E0" w:rsidRPr="00EF29A0" w:rsidRDefault="000371E0" w:rsidP="00E63BAE">
      <w:pPr>
        <w:overflowPunct w:val="0"/>
        <w:adjustRightInd w:val="0"/>
        <w:textAlignment w:val="baseline"/>
        <w:rPr>
          <w:bCs/>
          <w:i/>
          <w:strike w:val="0"/>
          <w:u w:val="double"/>
        </w:rPr>
      </w:pPr>
    </w:p>
    <w:p w:rsidR="00B709AB" w:rsidRPr="00B709AB" w:rsidRDefault="00B709AB" w:rsidP="00B709AB">
      <w:pPr>
        <w:autoSpaceDE/>
        <w:rPr>
          <w:strike w:val="0"/>
          <w:color w:val="000000"/>
        </w:rPr>
      </w:pPr>
      <w:r w:rsidRPr="00C52504">
        <w:rPr>
          <w:strike w:val="0"/>
          <w:color w:val="000000"/>
        </w:rPr>
        <w:t>(c)</w:t>
      </w:r>
      <w:r w:rsidRPr="00B709AB">
        <w:rPr>
          <w:strike w:val="0"/>
          <w:color w:val="000000"/>
        </w:rPr>
        <w:t xml:space="preserve">(2) The network provider information shall be submitted on a disk(s), CD ROM(s), or a flash drive, and the provider file shall have only the following eight columns. These columns shall be in the following order: (1) physician name (2) </w:t>
      </w:r>
      <w:r w:rsidRPr="00B709AB">
        <w:rPr>
          <w:color w:val="000000"/>
          <w:highlight w:val="yellow"/>
        </w:rPr>
        <w:t xml:space="preserve">specialty </w:t>
      </w:r>
      <w:r w:rsidR="00C52504" w:rsidRPr="00C52504">
        <w:rPr>
          <w:strike w:val="0"/>
          <w:color w:val="000000"/>
          <w:highlight w:val="yellow"/>
          <w:u w:val="single"/>
        </w:rPr>
        <w:t>type</w:t>
      </w:r>
      <w:r w:rsidR="00C52504">
        <w:rPr>
          <w:strike w:val="0"/>
          <w:color w:val="000000"/>
          <w:u w:val="single"/>
        </w:rPr>
        <w:t xml:space="preserve"> </w:t>
      </w:r>
      <w:r w:rsidRPr="00B709AB">
        <w:rPr>
          <w:strike w:val="0"/>
          <w:color w:val="000000"/>
        </w:rPr>
        <w:t>(3) physical address</w:t>
      </w:r>
      <w:r w:rsidRPr="00B709AB">
        <w:rPr>
          <w:color w:val="000000"/>
        </w:rPr>
        <w:t xml:space="preserve"> </w:t>
      </w:r>
      <w:r w:rsidRPr="00B709AB">
        <w:rPr>
          <w:strike w:val="0"/>
          <w:color w:val="000000"/>
        </w:rPr>
        <w:t xml:space="preserve">(4) city (5) </w:t>
      </w:r>
      <w:proofErr w:type="gramStart"/>
      <w:r w:rsidRPr="00B709AB">
        <w:rPr>
          <w:strike w:val="0"/>
          <w:color w:val="000000"/>
        </w:rPr>
        <w:t>state  (</w:t>
      </w:r>
      <w:proofErr w:type="gramEnd"/>
      <w:r w:rsidRPr="00B709AB">
        <w:rPr>
          <w:strike w:val="0"/>
          <w:color w:val="000000"/>
        </w:rPr>
        <w:t xml:space="preserve">6) zip code (7) any MPN medical group affiliations and (8) an assigned provider code for each physician listed. </w:t>
      </w:r>
      <w:r w:rsidRPr="00B67DEF">
        <w:rPr>
          <w:color w:val="000000"/>
          <w:highlight w:val="yellow"/>
        </w:rPr>
        <w:t xml:space="preserve">If a physician falls under more than one provider code, the physician shall be listed separately for each applicable provider code.  The following are the provider codes to be used:  primary treating physician (PTP), </w:t>
      </w:r>
      <w:r w:rsidRPr="00B67DEF">
        <w:rPr>
          <w:highlight w:val="yellow"/>
        </w:rPr>
        <w:t>orthopedic medicine (ORTHO), chiropractic medicine (DC), occupational medicine (OCCM), acupuncture medicine (LAC), psychology (PSYCH), pain specialty medicine (PM), occupational therapy medicine (OT), psychiatry (PSY), neurosurgery (NSG), family medicine (GP), neurology (NEURO), internal medicine (IM), physical medicine and rehabilitation (PMR), or podiatry (DPM).If the specialty does not fall under any one of the previously listed categories, then the specialty shall be clearly identified in the specialty column and the code used shall be (MISC).</w:t>
      </w:r>
      <w:r w:rsidRPr="00B709AB">
        <w:rPr>
          <w:strike w:val="0"/>
        </w:rPr>
        <w:t xml:space="preserve"> </w:t>
      </w:r>
      <w:r w:rsidRPr="00B709AB">
        <w:rPr>
          <w:strike w:val="0"/>
          <w:color w:val="000000"/>
        </w:rPr>
        <w:t xml:space="preserve">By submission of its provider listing, the </w:t>
      </w:r>
      <w:r w:rsidR="00C52504" w:rsidRPr="00C52504">
        <w:rPr>
          <w:strike w:val="0"/>
          <w:color w:val="000000"/>
        </w:rPr>
        <w:t>a</w:t>
      </w:r>
      <w:r w:rsidRPr="00B709AB">
        <w:rPr>
          <w:strike w:val="0"/>
          <w:color w:val="000000"/>
        </w:rPr>
        <w:t xml:space="preserve">pplicant is affirming that all of the physicians listed have been informed that the Medical </w:t>
      </w:r>
      <w:r w:rsidRPr="00B709AB">
        <w:rPr>
          <w:strike w:val="0"/>
          <w:color w:val="000000"/>
        </w:rPr>
        <w:lastRenderedPageBreak/>
        <w:t>Treatment Utilization Schedule (“MTUS”) is presumptively correct</w:t>
      </w:r>
      <w:r w:rsidRPr="00B709AB">
        <w:rPr>
          <w:strike w:val="0"/>
        </w:rPr>
        <w:t xml:space="preserve"> on the issue of the extent and scope of medical treatment and diagnostic services</w:t>
      </w:r>
      <w:r w:rsidRPr="00B709AB">
        <w:rPr>
          <w:strike w:val="0"/>
          <w:color w:val="000000"/>
        </w:rPr>
        <w:t xml:space="preserve"> and have a valid and current license number to practice in the State of California. </w:t>
      </w:r>
    </w:p>
    <w:p w:rsidR="00B709AB" w:rsidRDefault="00B709AB" w:rsidP="00E63BAE">
      <w:pPr>
        <w:autoSpaceDE/>
        <w:autoSpaceDN/>
        <w:rPr>
          <w:bCs/>
          <w:strike w:val="0"/>
        </w:rPr>
      </w:pPr>
    </w:p>
    <w:p w:rsidR="00903263" w:rsidRDefault="008261A9" w:rsidP="00E63BAE">
      <w:pPr>
        <w:overflowPunct w:val="0"/>
        <w:adjustRightInd w:val="0"/>
        <w:ind w:left="720"/>
        <w:textAlignment w:val="baseline"/>
        <w:rPr>
          <w:bCs/>
          <w:i/>
          <w:strike w:val="0"/>
        </w:rPr>
      </w:pPr>
      <w:r w:rsidRPr="00EF29A0">
        <w:rPr>
          <w:bCs/>
          <w:i/>
          <w:strike w:val="0"/>
        </w:rPr>
        <w:t>See the comment on section 9767.1(a</w:t>
      </w:r>
      <w:proofErr w:type="gramStart"/>
      <w:r w:rsidRPr="00EF29A0">
        <w:rPr>
          <w:bCs/>
          <w:i/>
          <w:strike w:val="0"/>
        </w:rPr>
        <w:t>)(</w:t>
      </w:r>
      <w:proofErr w:type="gramEnd"/>
      <w:r w:rsidRPr="00EF29A0">
        <w:rPr>
          <w:bCs/>
          <w:i/>
          <w:strike w:val="0"/>
        </w:rPr>
        <w:t>2</w:t>
      </w:r>
      <w:r w:rsidR="008773F7">
        <w:rPr>
          <w:bCs/>
          <w:i/>
          <w:strike w:val="0"/>
        </w:rPr>
        <w:t>5</w:t>
      </w:r>
      <w:r w:rsidR="00003DFD">
        <w:rPr>
          <w:bCs/>
          <w:i/>
          <w:strike w:val="0"/>
        </w:rPr>
        <w:t>)</w:t>
      </w:r>
      <w:r w:rsidR="008773F7">
        <w:rPr>
          <w:bCs/>
          <w:i/>
          <w:strike w:val="0"/>
        </w:rPr>
        <w:t>(C</w:t>
      </w:r>
      <w:r w:rsidRPr="00EF29A0">
        <w:rPr>
          <w:bCs/>
          <w:i/>
          <w:strike w:val="0"/>
        </w:rPr>
        <w:t>)</w:t>
      </w:r>
      <w:r w:rsidR="00003DFD">
        <w:rPr>
          <w:bCs/>
          <w:i/>
          <w:strike w:val="0"/>
        </w:rPr>
        <w:t xml:space="preserve"> </w:t>
      </w:r>
      <w:r w:rsidRPr="00EF29A0">
        <w:rPr>
          <w:bCs/>
          <w:i/>
          <w:strike w:val="0"/>
        </w:rPr>
        <w:t>regarding physician type vers</w:t>
      </w:r>
      <w:r w:rsidR="00D60FEA">
        <w:rPr>
          <w:bCs/>
          <w:i/>
          <w:strike w:val="0"/>
        </w:rPr>
        <w:t>u</w:t>
      </w:r>
      <w:r w:rsidRPr="00EF29A0">
        <w:rPr>
          <w:bCs/>
          <w:i/>
          <w:strike w:val="0"/>
        </w:rPr>
        <w:t xml:space="preserve">s physician specialty. </w:t>
      </w:r>
    </w:p>
    <w:p w:rsidR="00AF393D" w:rsidRDefault="00AF393D" w:rsidP="00E63BAE">
      <w:pPr>
        <w:overflowPunct w:val="0"/>
        <w:adjustRightInd w:val="0"/>
        <w:ind w:left="720"/>
        <w:textAlignment w:val="baseline"/>
        <w:rPr>
          <w:bCs/>
          <w:i/>
          <w:strike w:val="0"/>
        </w:rPr>
      </w:pPr>
    </w:p>
    <w:p w:rsidR="00AF393D" w:rsidRDefault="00AF393D" w:rsidP="00E63BAE">
      <w:pPr>
        <w:overflowPunct w:val="0"/>
        <w:adjustRightInd w:val="0"/>
        <w:ind w:left="720"/>
        <w:textAlignment w:val="baseline"/>
        <w:rPr>
          <w:bCs/>
          <w:i/>
          <w:strike w:val="0"/>
        </w:rPr>
      </w:pPr>
      <w:r>
        <w:rPr>
          <w:bCs/>
          <w:i/>
          <w:strike w:val="0"/>
        </w:rPr>
        <w:t xml:space="preserve">The </w:t>
      </w:r>
      <w:r w:rsidR="00F075E5">
        <w:rPr>
          <w:bCs/>
          <w:i/>
          <w:strike w:val="0"/>
        </w:rPr>
        <w:t>necessity</w:t>
      </w:r>
      <w:r>
        <w:rPr>
          <w:bCs/>
          <w:i/>
          <w:strike w:val="0"/>
        </w:rPr>
        <w:t xml:space="preserve"> for the newly proposed “</w:t>
      </w:r>
      <w:r w:rsidRPr="007A5977">
        <w:rPr>
          <w:bCs/>
          <w:i/>
          <w:strike w:val="0"/>
        </w:rPr>
        <w:t>provider codes</w:t>
      </w:r>
      <w:r>
        <w:rPr>
          <w:bCs/>
          <w:i/>
          <w:strike w:val="0"/>
        </w:rPr>
        <w:t xml:space="preserve">” </w:t>
      </w:r>
      <w:r w:rsidR="007A5977">
        <w:rPr>
          <w:bCs/>
          <w:i/>
          <w:strike w:val="0"/>
        </w:rPr>
        <w:t xml:space="preserve">in the </w:t>
      </w:r>
      <w:r w:rsidR="00B67DEF">
        <w:rPr>
          <w:bCs/>
          <w:i/>
          <w:strike w:val="0"/>
        </w:rPr>
        <w:t>second sentence</w:t>
      </w:r>
      <w:r w:rsidR="00CB56EB">
        <w:rPr>
          <w:bCs/>
          <w:i/>
          <w:strike w:val="0"/>
        </w:rPr>
        <w:t xml:space="preserve"> </w:t>
      </w:r>
      <w:r>
        <w:rPr>
          <w:bCs/>
          <w:i/>
          <w:strike w:val="0"/>
        </w:rPr>
        <w:t>is not clear</w:t>
      </w:r>
      <w:r w:rsidR="00144BA8">
        <w:rPr>
          <w:bCs/>
          <w:i/>
          <w:strike w:val="0"/>
        </w:rPr>
        <w:t xml:space="preserve">.  If these codes are meant to identify providers that </w:t>
      </w:r>
      <w:r w:rsidR="00F075E5">
        <w:rPr>
          <w:bCs/>
          <w:i/>
          <w:strike w:val="0"/>
        </w:rPr>
        <w:t xml:space="preserve">generally </w:t>
      </w:r>
      <w:r w:rsidR="00B63972">
        <w:rPr>
          <w:bCs/>
          <w:i/>
          <w:strike w:val="0"/>
        </w:rPr>
        <w:t>treat common injuries experienced by injured employees</w:t>
      </w:r>
      <w:r w:rsidR="00F075E5">
        <w:rPr>
          <w:bCs/>
          <w:i/>
          <w:strike w:val="0"/>
        </w:rPr>
        <w:t xml:space="preserve"> </w:t>
      </w:r>
      <w:r w:rsidR="004947B3">
        <w:rPr>
          <w:bCs/>
          <w:i/>
          <w:strike w:val="0"/>
        </w:rPr>
        <w:t xml:space="preserve">as </w:t>
      </w:r>
      <w:r w:rsidR="00F075E5">
        <w:rPr>
          <w:bCs/>
          <w:i/>
          <w:strike w:val="0"/>
        </w:rPr>
        <w:t xml:space="preserve">referenced </w:t>
      </w:r>
      <w:r w:rsidR="004947B3">
        <w:rPr>
          <w:bCs/>
          <w:i/>
          <w:strike w:val="0"/>
        </w:rPr>
        <w:t xml:space="preserve">in Labor Code section 4616(a), then </w:t>
      </w:r>
      <w:r w:rsidR="00B67DEF">
        <w:rPr>
          <w:bCs/>
          <w:i/>
          <w:strike w:val="0"/>
        </w:rPr>
        <w:t>the Institute</w:t>
      </w:r>
      <w:r w:rsidR="00704203">
        <w:rPr>
          <w:bCs/>
          <w:i/>
          <w:strike w:val="0"/>
        </w:rPr>
        <w:t xml:space="preserve"> suggest revising the </w:t>
      </w:r>
      <w:r w:rsidR="007A5977">
        <w:rPr>
          <w:bCs/>
          <w:i/>
          <w:strike w:val="0"/>
        </w:rPr>
        <w:t xml:space="preserve">access standards in these </w:t>
      </w:r>
      <w:r w:rsidR="00704203">
        <w:rPr>
          <w:bCs/>
          <w:i/>
          <w:strike w:val="0"/>
        </w:rPr>
        <w:t>regulations to require at least three physicians in each these provider code categories</w:t>
      </w:r>
      <w:r w:rsidR="007A5977">
        <w:rPr>
          <w:bCs/>
          <w:i/>
          <w:strike w:val="0"/>
        </w:rPr>
        <w:t xml:space="preserve"> in lieu of each specialty</w:t>
      </w:r>
      <w:r w:rsidR="00CB56EB">
        <w:rPr>
          <w:bCs/>
          <w:i/>
          <w:strike w:val="0"/>
        </w:rPr>
        <w:t xml:space="preserve">.  If this is not </w:t>
      </w:r>
      <w:r w:rsidR="00201005">
        <w:rPr>
          <w:bCs/>
          <w:i/>
          <w:strike w:val="0"/>
        </w:rPr>
        <w:t>the case,</w:t>
      </w:r>
      <w:r w:rsidR="007A5977">
        <w:rPr>
          <w:bCs/>
          <w:i/>
          <w:strike w:val="0"/>
        </w:rPr>
        <w:t xml:space="preserve"> </w:t>
      </w:r>
      <w:r w:rsidR="00CB56EB">
        <w:rPr>
          <w:bCs/>
          <w:i/>
          <w:strike w:val="0"/>
        </w:rPr>
        <w:t xml:space="preserve">then </w:t>
      </w:r>
      <w:r w:rsidR="00201005">
        <w:rPr>
          <w:bCs/>
          <w:i/>
          <w:strike w:val="0"/>
        </w:rPr>
        <w:t>the Institute recommends deleting this highlighted section since it is not</w:t>
      </w:r>
      <w:r w:rsidR="00CB56EB">
        <w:rPr>
          <w:bCs/>
          <w:i/>
          <w:strike w:val="0"/>
        </w:rPr>
        <w:t xml:space="preserve"> necess</w:t>
      </w:r>
      <w:r w:rsidR="00201005">
        <w:rPr>
          <w:bCs/>
          <w:i/>
          <w:strike w:val="0"/>
        </w:rPr>
        <w:t>ary.</w:t>
      </w:r>
      <w:r w:rsidR="00CB56EB">
        <w:rPr>
          <w:bCs/>
          <w:i/>
          <w:strike w:val="0"/>
        </w:rPr>
        <w:t xml:space="preserve"> </w:t>
      </w:r>
      <w:r w:rsidR="004947B3">
        <w:rPr>
          <w:bCs/>
          <w:i/>
          <w:strike w:val="0"/>
        </w:rPr>
        <w:t xml:space="preserve"> </w:t>
      </w:r>
      <w:r w:rsidR="00144BA8">
        <w:rPr>
          <w:bCs/>
          <w:i/>
          <w:strike w:val="0"/>
        </w:rPr>
        <w:t xml:space="preserve"> </w:t>
      </w:r>
      <w:r>
        <w:rPr>
          <w:bCs/>
          <w:i/>
          <w:strike w:val="0"/>
        </w:rPr>
        <w:t xml:space="preserve"> </w:t>
      </w:r>
    </w:p>
    <w:p w:rsidR="008261A9" w:rsidRPr="00EF29A0" w:rsidRDefault="008261A9" w:rsidP="00E63BAE">
      <w:pPr>
        <w:overflowPunct w:val="0"/>
        <w:adjustRightInd w:val="0"/>
        <w:textAlignment w:val="baseline"/>
        <w:rPr>
          <w:strike w:val="0"/>
        </w:rPr>
      </w:pPr>
    </w:p>
    <w:p w:rsidR="00641931" w:rsidRPr="00641931" w:rsidRDefault="00084C75" w:rsidP="00641931">
      <w:pPr>
        <w:overflowPunct w:val="0"/>
        <w:adjustRightInd w:val="0"/>
        <w:textAlignment w:val="baseline"/>
        <w:rPr>
          <w:strike w:val="0"/>
        </w:rPr>
      </w:pPr>
      <w:r>
        <w:rPr>
          <w:strike w:val="0"/>
          <w:highlight w:val="yellow"/>
          <w:u w:val="single"/>
        </w:rPr>
        <w:t>(c)</w:t>
      </w:r>
      <w:r w:rsidR="00641931" w:rsidRPr="00641931">
        <w:rPr>
          <w:strike w:val="0"/>
          <w:highlight w:val="yellow"/>
          <w:u w:val="single"/>
        </w:rPr>
        <w:t>(4)  If an MPN lists a medical group in its provider listing, then all physicians in that medical group are considered to be approved providers.  An MPN may list a subgroup of a larger medical group if all physicians in the larger group are not in the MPN, or an MPN may list approved providers individually.</w:t>
      </w:r>
    </w:p>
    <w:p w:rsidR="00641931" w:rsidRPr="00641931" w:rsidRDefault="00641931" w:rsidP="00641931">
      <w:pPr>
        <w:overflowPunct w:val="0"/>
        <w:adjustRightInd w:val="0"/>
        <w:textAlignment w:val="baseline"/>
        <w:rPr>
          <w:strike w:val="0"/>
          <w:u w:val="single"/>
        </w:rPr>
      </w:pPr>
    </w:p>
    <w:p w:rsidR="00641931" w:rsidRPr="00641931" w:rsidRDefault="00641931" w:rsidP="00641931">
      <w:pPr>
        <w:overflowPunct w:val="0"/>
        <w:adjustRightInd w:val="0"/>
        <w:ind w:left="720"/>
        <w:textAlignment w:val="baseline"/>
        <w:rPr>
          <w:i/>
          <w:strike w:val="0"/>
        </w:rPr>
      </w:pPr>
      <w:r>
        <w:rPr>
          <w:i/>
          <w:strike w:val="0"/>
        </w:rPr>
        <w:t xml:space="preserve">We suggest restoring this section </w:t>
      </w:r>
      <w:r w:rsidR="005B56FF">
        <w:rPr>
          <w:i/>
          <w:strike w:val="0"/>
        </w:rPr>
        <w:t>to accommodate</w:t>
      </w:r>
      <w:r>
        <w:rPr>
          <w:i/>
          <w:strike w:val="0"/>
        </w:rPr>
        <w:t xml:space="preserve"> MPN applicant</w:t>
      </w:r>
      <w:r w:rsidR="005B56FF">
        <w:rPr>
          <w:i/>
          <w:strike w:val="0"/>
        </w:rPr>
        <w:t>s who</w:t>
      </w:r>
      <w:r>
        <w:rPr>
          <w:i/>
          <w:strike w:val="0"/>
        </w:rPr>
        <w:t xml:space="preserve"> choose to </w:t>
      </w:r>
      <w:r w:rsidR="005B56FF">
        <w:rPr>
          <w:i/>
          <w:strike w:val="0"/>
        </w:rPr>
        <w:t>include medical groups in their networks.  Doing so will make compliance for both the MPN applicants and the selected groups</w:t>
      </w:r>
      <w:r w:rsidR="00637EB7">
        <w:rPr>
          <w:i/>
          <w:strike w:val="0"/>
        </w:rPr>
        <w:t xml:space="preserve"> less onerous. </w:t>
      </w:r>
      <w:r w:rsidR="00AE5897">
        <w:rPr>
          <w:i/>
          <w:strike w:val="0"/>
        </w:rPr>
        <w:t xml:space="preserve"> If this recommendation is accepted, the section must be renumbered. </w:t>
      </w:r>
    </w:p>
    <w:p w:rsidR="00641931" w:rsidRDefault="00641931" w:rsidP="00E63BAE">
      <w:pPr>
        <w:overflowPunct w:val="0"/>
        <w:adjustRightInd w:val="0"/>
        <w:textAlignment w:val="baseline"/>
        <w:rPr>
          <w:strike w:val="0"/>
        </w:rPr>
      </w:pPr>
    </w:p>
    <w:p w:rsidR="00D71B8F" w:rsidRPr="00D71B8F" w:rsidRDefault="00C2541E" w:rsidP="00D71B8F">
      <w:pPr>
        <w:autoSpaceDE/>
        <w:rPr>
          <w:strike w:val="0"/>
          <w:color w:val="000000"/>
        </w:rPr>
      </w:pPr>
      <w:r>
        <w:rPr>
          <w:strike w:val="0"/>
          <w:color w:val="000000"/>
        </w:rPr>
        <w:t>(d)(8)</w:t>
      </w:r>
      <w:r w:rsidR="00D71B8F" w:rsidRPr="00D71B8F">
        <w:rPr>
          <w:strike w:val="0"/>
          <w:color w:val="000000"/>
        </w:rPr>
        <w:t xml:space="preserve">(G) Provide a listing of the name, </w:t>
      </w:r>
      <w:proofErr w:type="spellStart"/>
      <w:r w:rsidR="00D71B8F" w:rsidRPr="007A651A">
        <w:rPr>
          <w:color w:val="000000"/>
          <w:highlight w:val="yellow"/>
        </w:rPr>
        <w:t>spec</w:t>
      </w:r>
      <w:r w:rsidR="00D71B8F" w:rsidRPr="00D71B8F">
        <w:rPr>
          <w:color w:val="000000"/>
          <w:highlight w:val="yellow"/>
        </w:rPr>
        <w:t>ialty</w:t>
      </w:r>
      <w:r w:rsidR="0069431F" w:rsidRPr="0069431F">
        <w:rPr>
          <w:strike w:val="0"/>
          <w:color w:val="000000"/>
          <w:highlight w:val="yellow"/>
          <w:u w:val="single"/>
        </w:rPr>
        <w:t>type</w:t>
      </w:r>
      <w:proofErr w:type="spellEnd"/>
      <w:r w:rsidR="00D71B8F" w:rsidRPr="00D71B8F">
        <w:rPr>
          <w:strike w:val="0"/>
          <w:color w:val="000000"/>
        </w:rPr>
        <w:t xml:space="preserve">, and location of each physician as described in Labor Code Section </w:t>
      </w:r>
      <w:proofErr w:type="gramStart"/>
      <w:r w:rsidR="00D71B8F" w:rsidRPr="00D71B8F">
        <w:rPr>
          <w:strike w:val="0"/>
          <w:color w:val="000000"/>
        </w:rPr>
        <w:t>3209.3,</w:t>
      </w:r>
      <w:proofErr w:type="gramEnd"/>
      <w:r w:rsidR="00D71B8F" w:rsidRPr="00D71B8F">
        <w:rPr>
          <w:strike w:val="0"/>
          <w:color w:val="000000"/>
        </w:rPr>
        <w:t xml:space="preserve"> </w:t>
      </w:r>
      <w:r w:rsidR="002B646F" w:rsidRPr="002B646F">
        <w:rPr>
          <w:strike w:val="0"/>
          <w:color w:val="000000"/>
          <w:highlight w:val="yellow"/>
          <w:u w:val="single"/>
        </w:rPr>
        <w:t>and medical groups</w:t>
      </w:r>
      <w:r w:rsidR="002B646F">
        <w:rPr>
          <w:strike w:val="0"/>
          <w:color w:val="000000"/>
        </w:rPr>
        <w:t xml:space="preserve"> </w:t>
      </w:r>
      <w:r w:rsidR="00D71B8F" w:rsidRPr="00D71B8F">
        <w:rPr>
          <w:strike w:val="0"/>
          <w:color w:val="000000"/>
        </w:rPr>
        <w:t xml:space="preserve">who will be providing occupational medicine services under the plan. </w:t>
      </w:r>
      <w:r w:rsidR="00D71B8F" w:rsidRPr="00D71B8F">
        <w:rPr>
          <w:color w:val="000000"/>
          <w:highlight w:val="yellow"/>
        </w:rPr>
        <w:t>Only individual physicians in the MPN shall be listed, but</w:t>
      </w:r>
      <w:r w:rsidR="00D71B8F" w:rsidRPr="00D71B8F">
        <w:rPr>
          <w:strike w:val="0"/>
          <w:color w:val="000000"/>
        </w:rPr>
        <w:t xml:space="preserve"> MPN medical group affiliation(s) may be included with each individual physician listed.  By submission of the application, the MPN applicant is confirming that a contractual agreement exists with the physicians, providers or medical group practice in the MPN to provide treatment for injured workers in the workers' compensation system and that the contractual agreement is in compliance with Labor Code section 4609, if applicable. </w:t>
      </w:r>
    </w:p>
    <w:p w:rsidR="00D71B8F" w:rsidRPr="00D71B8F" w:rsidRDefault="00D71B8F" w:rsidP="00D71B8F">
      <w:pPr>
        <w:autoSpaceDE/>
        <w:rPr>
          <w:strike w:val="0"/>
          <w:color w:val="000000"/>
        </w:rPr>
      </w:pPr>
    </w:p>
    <w:p w:rsidR="00092538" w:rsidRDefault="0069431F" w:rsidP="00092538">
      <w:pPr>
        <w:overflowPunct w:val="0"/>
        <w:adjustRightInd w:val="0"/>
        <w:ind w:left="720"/>
        <w:textAlignment w:val="baseline"/>
        <w:rPr>
          <w:bCs/>
          <w:i/>
          <w:strike w:val="0"/>
        </w:rPr>
      </w:pPr>
      <w:r>
        <w:rPr>
          <w:bCs/>
          <w:i/>
          <w:strike w:val="0"/>
        </w:rPr>
        <w:t>MPN physician listings will include a physician’s specialty</w:t>
      </w:r>
      <w:r w:rsidRPr="00895EEB">
        <w:rPr>
          <w:bCs/>
          <w:i/>
          <w:strike w:val="0"/>
        </w:rPr>
        <w:t xml:space="preserve"> </w:t>
      </w:r>
      <w:r>
        <w:rPr>
          <w:bCs/>
          <w:i/>
          <w:strike w:val="0"/>
        </w:rPr>
        <w:t>to</w:t>
      </w:r>
      <w:r w:rsidRPr="00895EEB">
        <w:rPr>
          <w:bCs/>
          <w:i/>
          <w:strike w:val="0"/>
        </w:rPr>
        <w:t xml:space="preserve"> </w:t>
      </w:r>
      <w:r>
        <w:rPr>
          <w:bCs/>
          <w:i/>
          <w:strike w:val="0"/>
        </w:rPr>
        <w:t>enable</w:t>
      </w:r>
      <w:r w:rsidRPr="00895EEB">
        <w:rPr>
          <w:bCs/>
          <w:i/>
          <w:strike w:val="0"/>
        </w:rPr>
        <w:t xml:space="preserve"> an injured employee </w:t>
      </w:r>
      <w:r>
        <w:rPr>
          <w:bCs/>
          <w:i/>
          <w:strike w:val="0"/>
        </w:rPr>
        <w:t>to select “a treating physician and any subsequent physicians based on the physician’s specialty or recognized expertise in treating the particular injury or condition in question.” However, while it is necessary to submit the physician type in an MPN application so that the Administrative Director can validate that access standards by type of physician are met pursuant to Labor Code section 4616(a)(1), there is no such statutory basis or necessity for also requiring the applicant to report the specialty in the MPN application.</w:t>
      </w:r>
      <w:r w:rsidRPr="00E977A7">
        <w:rPr>
          <w:bCs/>
          <w:i/>
          <w:strike w:val="0"/>
        </w:rPr>
        <w:t xml:space="preserve"> </w:t>
      </w:r>
      <w:r>
        <w:rPr>
          <w:bCs/>
          <w:i/>
          <w:strike w:val="0"/>
        </w:rPr>
        <w:t xml:space="preserve"> </w:t>
      </w:r>
      <w:r w:rsidRPr="00EF29A0">
        <w:rPr>
          <w:bCs/>
          <w:i/>
          <w:strike w:val="0"/>
        </w:rPr>
        <w:t xml:space="preserve">See </w:t>
      </w:r>
      <w:r>
        <w:rPr>
          <w:bCs/>
          <w:i/>
          <w:strike w:val="0"/>
        </w:rPr>
        <w:t xml:space="preserve">in addition </w:t>
      </w:r>
      <w:r w:rsidRPr="00EF29A0">
        <w:rPr>
          <w:bCs/>
          <w:i/>
          <w:strike w:val="0"/>
        </w:rPr>
        <w:t>the comment on section 9767.1(a</w:t>
      </w:r>
      <w:proofErr w:type="gramStart"/>
      <w:r w:rsidRPr="00EF29A0">
        <w:rPr>
          <w:bCs/>
          <w:i/>
          <w:strike w:val="0"/>
        </w:rPr>
        <w:t>)(</w:t>
      </w:r>
      <w:proofErr w:type="gramEnd"/>
      <w:r w:rsidRPr="00EF29A0">
        <w:rPr>
          <w:bCs/>
          <w:i/>
          <w:strike w:val="0"/>
        </w:rPr>
        <w:t>2</w:t>
      </w:r>
      <w:r>
        <w:rPr>
          <w:bCs/>
          <w:i/>
          <w:strike w:val="0"/>
        </w:rPr>
        <w:t>5)(C)</w:t>
      </w:r>
      <w:r w:rsidRPr="00EF29A0">
        <w:rPr>
          <w:bCs/>
          <w:i/>
          <w:strike w:val="0"/>
        </w:rPr>
        <w:t xml:space="preserve"> regarding physician type vers</w:t>
      </w:r>
      <w:r>
        <w:rPr>
          <w:bCs/>
          <w:i/>
          <w:strike w:val="0"/>
        </w:rPr>
        <w:t>u</w:t>
      </w:r>
      <w:r w:rsidRPr="00EF29A0">
        <w:rPr>
          <w:bCs/>
          <w:i/>
          <w:strike w:val="0"/>
        </w:rPr>
        <w:t xml:space="preserve">s physician specialty. </w:t>
      </w:r>
      <w:r>
        <w:rPr>
          <w:bCs/>
          <w:i/>
          <w:strike w:val="0"/>
        </w:rPr>
        <w:t xml:space="preserve"> </w:t>
      </w:r>
    </w:p>
    <w:p w:rsidR="00092538" w:rsidRPr="00895EEB" w:rsidRDefault="00092538" w:rsidP="00092538">
      <w:pPr>
        <w:overflowPunct w:val="0"/>
        <w:adjustRightInd w:val="0"/>
        <w:ind w:left="720"/>
        <w:textAlignment w:val="baseline"/>
        <w:rPr>
          <w:bCs/>
          <w:i/>
          <w:strike w:val="0"/>
        </w:rPr>
      </w:pPr>
    </w:p>
    <w:p w:rsidR="00D71B8F" w:rsidRPr="00AF2C1C" w:rsidRDefault="00AF2C1C" w:rsidP="00AF2C1C">
      <w:pPr>
        <w:overflowPunct w:val="0"/>
        <w:adjustRightInd w:val="0"/>
        <w:ind w:left="720"/>
        <w:textAlignment w:val="baseline"/>
        <w:rPr>
          <w:i/>
          <w:strike w:val="0"/>
        </w:rPr>
      </w:pPr>
      <w:r>
        <w:rPr>
          <w:i/>
          <w:strike w:val="0"/>
        </w:rPr>
        <w:t>As also suggested in (c</w:t>
      </w:r>
      <w:proofErr w:type="gramStart"/>
      <w:r>
        <w:rPr>
          <w:i/>
          <w:strike w:val="0"/>
        </w:rPr>
        <w:t>)(</w:t>
      </w:r>
      <w:proofErr w:type="gramEnd"/>
      <w:r>
        <w:rPr>
          <w:i/>
          <w:strike w:val="0"/>
        </w:rPr>
        <w:t xml:space="preserve">4), </w:t>
      </w:r>
      <w:r w:rsidR="002436B8">
        <w:rPr>
          <w:i/>
          <w:strike w:val="0"/>
        </w:rPr>
        <w:t>the</w:t>
      </w:r>
      <w:r w:rsidR="0069431F">
        <w:rPr>
          <w:i/>
          <w:strike w:val="0"/>
        </w:rPr>
        <w:t xml:space="preserve"> other</w:t>
      </w:r>
      <w:r w:rsidR="002436B8">
        <w:rPr>
          <w:i/>
          <w:strike w:val="0"/>
        </w:rPr>
        <w:t xml:space="preserve"> modifications will accommodate </w:t>
      </w:r>
      <w:r>
        <w:rPr>
          <w:i/>
          <w:strike w:val="0"/>
        </w:rPr>
        <w:t xml:space="preserve">MPN applicants who choose to include medical groups in their networks.  </w:t>
      </w:r>
      <w:r w:rsidR="002436B8">
        <w:rPr>
          <w:i/>
          <w:strike w:val="0"/>
        </w:rPr>
        <w:t xml:space="preserve">This </w:t>
      </w:r>
      <w:r>
        <w:rPr>
          <w:i/>
          <w:strike w:val="0"/>
        </w:rPr>
        <w:t xml:space="preserve">will make compliance for both the MPN applicants and the selected groups less onerous.  </w:t>
      </w:r>
    </w:p>
    <w:p w:rsidR="00895EEB" w:rsidRPr="00EF29A0" w:rsidRDefault="00895EEB" w:rsidP="00E63BAE">
      <w:pPr>
        <w:overflowPunct w:val="0"/>
        <w:adjustRightInd w:val="0"/>
        <w:ind w:left="720"/>
        <w:textAlignment w:val="baseline"/>
        <w:rPr>
          <w:strike w:val="0"/>
        </w:rPr>
      </w:pPr>
    </w:p>
    <w:p w:rsidR="001847AE" w:rsidRPr="001847AE" w:rsidRDefault="00C2541E" w:rsidP="00E77F67">
      <w:pPr>
        <w:overflowPunct w:val="0"/>
        <w:adjustRightInd w:val="0"/>
        <w:rPr>
          <w:strike w:val="0"/>
        </w:rPr>
      </w:pPr>
      <w:r>
        <w:rPr>
          <w:strike w:val="0"/>
        </w:rPr>
        <w:lastRenderedPageBreak/>
        <w:t>(d)(8)</w:t>
      </w:r>
      <w:r w:rsidR="001847AE" w:rsidRPr="001847AE">
        <w:rPr>
          <w:strike w:val="0"/>
        </w:rPr>
        <w:t xml:space="preserve">(H) Provide an electronic copy in Microsoft Excel format of the geocoding results of the MPN provider directory to show compliance with the access standards for the injured workers being covered by the MPN.  The geocoding results shall include the following separate files:  1) a complete list of all zip codes within the MPN geographic service area; 2) a narrative and/or graphic report that establishes that there are at least three available primary treating physicians within the fifteen-mile access standard from the center of each zip code within the MPN geographic service area; 3)  a narrative and/or graphic report that establishes that there is a hospital  or an emergency health care service provider within the fifteen-mile access standard from the center of each zip code within the MPN geographic service area; 4) a narrative and/or graphic report that establishes that there are at least three available </w:t>
      </w:r>
      <w:proofErr w:type="spellStart"/>
      <w:r w:rsidR="001847AE" w:rsidRPr="001847AE">
        <w:rPr>
          <w:highlight w:val="yellow"/>
        </w:rPr>
        <w:t>specialists</w:t>
      </w:r>
      <w:r w:rsidR="001847AE" w:rsidRPr="00C573C0">
        <w:rPr>
          <w:strike w:val="0"/>
          <w:highlight w:val="yellow"/>
          <w:u w:val="single"/>
        </w:rPr>
        <w:t>types</w:t>
      </w:r>
      <w:proofErr w:type="spellEnd"/>
      <w:r w:rsidR="001847AE" w:rsidRPr="00334D25">
        <w:rPr>
          <w:strike w:val="0"/>
        </w:rPr>
        <w:t xml:space="preserve"> </w:t>
      </w:r>
      <w:r w:rsidR="000A4C84" w:rsidRPr="00334D25">
        <w:rPr>
          <w:strike w:val="0"/>
        </w:rPr>
        <w:t xml:space="preserve">of </w:t>
      </w:r>
      <w:r w:rsidR="001847AE" w:rsidRPr="00C573C0">
        <w:rPr>
          <w:strike w:val="0"/>
          <w:highlight w:val="yellow"/>
          <w:u w:val="single"/>
        </w:rPr>
        <w:t>physician</w:t>
      </w:r>
      <w:r w:rsidR="000A4C84" w:rsidRPr="00C573C0">
        <w:rPr>
          <w:strike w:val="0"/>
          <w:highlight w:val="yellow"/>
          <w:u w:val="single"/>
        </w:rPr>
        <w:t>s</w:t>
      </w:r>
      <w:r w:rsidR="001847AE" w:rsidRPr="001847AE">
        <w:rPr>
          <w:strike w:val="0"/>
          <w:highlight w:val="yellow"/>
          <w:u w:val="single"/>
        </w:rPr>
        <w:t xml:space="preserve"> </w:t>
      </w:r>
      <w:r w:rsidR="000A4C84" w:rsidRPr="00C573C0">
        <w:rPr>
          <w:strike w:val="0"/>
          <w:highlight w:val="yellow"/>
          <w:u w:val="single"/>
        </w:rPr>
        <w:t>described in Labor Code section 3209.3</w:t>
      </w:r>
      <w:r w:rsidR="000A4C84" w:rsidRPr="00334D25">
        <w:rPr>
          <w:strike w:val="0"/>
        </w:rPr>
        <w:t xml:space="preserve"> </w:t>
      </w:r>
      <w:r w:rsidR="001847AE" w:rsidRPr="001847AE">
        <w:rPr>
          <w:strike w:val="0"/>
        </w:rPr>
        <w:t xml:space="preserve">to provide occupational health services </w:t>
      </w:r>
      <w:r w:rsidR="001847AE" w:rsidRPr="001847AE">
        <w:rPr>
          <w:highlight w:val="yellow"/>
        </w:rPr>
        <w:t xml:space="preserve">in each listed </w:t>
      </w:r>
      <w:proofErr w:type="spellStart"/>
      <w:r w:rsidR="001847AE" w:rsidRPr="001847AE">
        <w:rPr>
          <w:highlight w:val="yellow"/>
        </w:rPr>
        <w:t>specialty</w:t>
      </w:r>
      <w:r w:rsidR="001830C7" w:rsidRPr="00C573C0">
        <w:rPr>
          <w:strike w:val="0"/>
          <w:highlight w:val="yellow"/>
          <w:u w:val="single"/>
        </w:rPr>
        <w:t>to</w:t>
      </w:r>
      <w:proofErr w:type="spellEnd"/>
      <w:r w:rsidR="001830C7" w:rsidRPr="00C573C0">
        <w:rPr>
          <w:strike w:val="0"/>
          <w:highlight w:val="yellow"/>
          <w:u w:val="single"/>
        </w:rPr>
        <w:t xml:space="preserve"> treat common injuries experienced by injured employees</w:t>
      </w:r>
      <w:r w:rsidR="006D7BC8" w:rsidRPr="00C573C0">
        <w:rPr>
          <w:strike w:val="0"/>
          <w:highlight w:val="yellow"/>
          <w:u w:val="single"/>
        </w:rPr>
        <w:t xml:space="preserve"> engaged in the type of occupation or industry</w:t>
      </w:r>
      <w:r w:rsidR="001847AE" w:rsidRPr="001847AE">
        <w:rPr>
          <w:strike w:val="0"/>
          <w:u w:val="single"/>
        </w:rPr>
        <w:t xml:space="preserve"> </w:t>
      </w:r>
      <w:r w:rsidR="001847AE" w:rsidRPr="001847AE">
        <w:rPr>
          <w:strike w:val="0"/>
        </w:rPr>
        <w:t>within the thirty-mile access standard from the center of each zip code within the MPN geographic service area; 5) a list of all zip codes in which there is a health care shortage and where the access standards are not met for each specialty and an explanation of how medical treatment will be provided in those areas not meeting the access standards</w:t>
      </w:r>
      <w:r w:rsidR="001847AE" w:rsidRPr="001847AE">
        <w:rPr>
          <w:highlight w:val="yellow"/>
        </w:rPr>
        <w:t>; and 6) each physician listed in the MPN provider directory listing shall be assigned at least one provider code as set forth in subdivision (c)(2) of this section to be used in the geocoding reports</w:t>
      </w:r>
      <w:r w:rsidR="001847AE" w:rsidRPr="00334D25">
        <w:rPr>
          <w:strike w:val="0"/>
        </w:rPr>
        <w:t>.</w:t>
      </w:r>
      <w:r w:rsidR="001847AE" w:rsidRPr="001847AE">
        <w:rPr>
          <w:strike w:val="0"/>
        </w:rPr>
        <w:t xml:space="preserve"> </w:t>
      </w:r>
    </w:p>
    <w:p w:rsidR="001847AE" w:rsidRDefault="001847AE" w:rsidP="00E63BAE">
      <w:pPr>
        <w:overflowPunct w:val="0"/>
        <w:adjustRightInd w:val="0"/>
        <w:textAlignment w:val="baseline"/>
        <w:rPr>
          <w:strike w:val="0"/>
        </w:rPr>
      </w:pPr>
    </w:p>
    <w:p w:rsidR="00807D56" w:rsidRDefault="00FA56F3" w:rsidP="00E63BAE">
      <w:pPr>
        <w:overflowPunct w:val="0"/>
        <w:adjustRightInd w:val="0"/>
        <w:ind w:left="720"/>
        <w:textAlignment w:val="baseline"/>
        <w:rPr>
          <w:bCs/>
          <w:i/>
          <w:strike w:val="0"/>
        </w:rPr>
      </w:pPr>
      <w:r>
        <w:rPr>
          <w:bCs/>
          <w:i/>
          <w:strike w:val="0"/>
        </w:rPr>
        <w:t>Labor Code section 4616(b</w:t>
      </w:r>
      <w:proofErr w:type="gramStart"/>
      <w:r>
        <w:rPr>
          <w:bCs/>
          <w:i/>
          <w:strike w:val="0"/>
        </w:rPr>
        <w:t>)(</w:t>
      </w:r>
      <w:proofErr w:type="gramEnd"/>
      <w:r>
        <w:rPr>
          <w:bCs/>
          <w:i/>
          <w:strike w:val="0"/>
        </w:rPr>
        <w:t>3) requires MPNs to submit geocoding for reapproval “to establish that the number and geographic location of physicians</w:t>
      </w:r>
      <w:r w:rsidR="00FC5A68">
        <w:rPr>
          <w:bCs/>
          <w:i/>
          <w:strike w:val="0"/>
        </w:rPr>
        <w:t xml:space="preserve"> in the network meets the required access standards.”  Labor Code section 4616(a</w:t>
      </w:r>
      <w:proofErr w:type="gramStart"/>
      <w:r w:rsidR="00FC5A68">
        <w:rPr>
          <w:bCs/>
          <w:i/>
          <w:strike w:val="0"/>
        </w:rPr>
        <w:t>)(</w:t>
      </w:r>
      <w:proofErr w:type="gramEnd"/>
      <w:r w:rsidR="00FC5A68">
        <w:rPr>
          <w:bCs/>
          <w:i/>
          <w:strike w:val="0"/>
        </w:rPr>
        <w:t>1)</w:t>
      </w:r>
      <w:r w:rsidR="00EE7ABF" w:rsidRPr="00EE7ABF">
        <w:rPr>
          <w:bCs/>
          <w:i/>
          <w:strike w:val="0"/>
        </w:rPr>
        <w:t xml:space="preserve"> </w:t>
      </w:r>
      <w:r w:rsidR="00EE7ABF">
        <w:rPr>
          <w:bCs/>
          <w:i/>
          <w:strike w:val="0"/>
        </w:rPr>
        <w:t xml:space="preserve">requires </w:t>
      </w:r>
      <w:r w:rsidR="00C55A9D">
        <w:rPr>
          <w:bCs/>
          <w:i/>
          <w:strike w:val="0"/>
        </w:rPr>
        <w:t>an adequate number and type of physicians t</w:t>
      </w:r>
      <w:r w:rsidR="00C84FF0">
        <w:rPr>
          <w:bCs/>
          <w:i/>
          <w:strike w:val="0"/>
        </w:rPr>
        <w:t xml:space="preserve">o treat common injuries, and that </w:t>
      </w:r>
      <w:r w:rsidR="00275CB8">
        <w:rPr>
          <w:bCs/>
          <w:i/>
          <w:strike w:val="0"/>
        </w:rPr>
        <w:t>the number of physicians be sufficient</w:t>
      </w:r>
      <w:r w:rsidR="00C55A9D">
        <w:rPr>
          <w:bCs/>
          <w:i/>
          <w:strike w:val="0"/>
        </w:rPr>
        <w:t xml:space="preserve"> to enable timely treatment</w:t>
      </w:r>
      <w:r w:rsidR="00C84FF0">
        <w:rPr>
          <w:bCs/>
          <w:i/>
          <w:strike w:val="0"/>
        </w:rPr>
        <w:t>.</w:t>
      </w:r>
      <w:r w:rsidR="008246DB">
        <w:rPr>
          <w:bCs/>
          <w:i/>
          <w:strike w:val="0"/>
        </w:rPr>
        <w:t xml:space="preserve">  It does not require the same number of physicians in each area, nor does it require access standards by specialty. </w:t>
      </w:r>
    </w:p>
    <w:p w:rsidR="004C2DD9" w:rsidRDefault="004C2DD9" w:rsidP="00E63BAE">
      <w:pPr>
        <w:overflowPunct w:val="0"/>
        <w:adjustRightInd w:val="0"/>
        <w:ind w:left="720"/>
        <w:textAlignment w:val="baseline"/>
        <w:rPr>
          <w:bCs/>
          <w:i/>
          <w:strike w:val="0"/>
        </w:rPr>
      </w:pPr>
    </w:p>
    <w:p w:rsidR="00477AA0" w:rsidRDefault="004C2DD9" w:rsidP="00E63BAE">
      <w:pPr>
        <w:overflowPunct w:val="0"/>
        <w:adjustRightInd w:val="0"/>
        <w:ind w:left="720"/>
        <w:textAlignment w:val="baseline"/>
        <w:rPr>
          <w:bCs/>
          <w:i/>
          <w:strike w:val="0"/>
        </w:rPr>
      </w:pPr>
      <w:r w:rsidRPr="00EF29A0">
        <w:rPr>
          <w:bCs/>
          <w:i/>
          <w:strike w:val="0"/>
        </w:rPr>
        <w:t xml:space="preserve">See </w:t>
      </w:r>
      <w:r>
        <w:rPr>
          <w:bCs/>
          <w:i/>
          <w:strike w:val="0"/>
        </w:rPr>
        <w:t xml:space="preserve">in addition </w:t>
      </w:r>
      <w:r w:rsidRPr="00EF29A0">
        <w:rPr>
          <w:bCs/>
          <w:i/>
          <w:strike w:val="0"/>
        </w:rPr>
        <w:t>the comment on section 9767.1(a</w:t>
      </w:r>
      <w:proofErr w:type="gramStart"/>
      <w:r w:rsidRPr="00EF29A0">
        <w:rPr>
          <w:bCs/>
          <w:i/>
          <w:strike w:val="0"/>
        </w:rPr>
        <w:t>)(</w:t>
      </w:r>
      <w:proofErr w:type="gramEnd"/>
      <w:r w:rsidRPr="00EF29A0">
        <w:rPr>
          <w:bCs/>
          <w:i/>
          <w:strike w:val="0"/>
        </w:rPr>
        <w:t>2</w:t>
      </w:r>
      <w:r>
        <w:rPr>
          <w:bCs/>
          <w:i/>
          <w:strike w:val="0"/>
        </w:rPr>
        <w:t>5</w:t>
      </w:r>
      <w:r w:rsidR="00A1552E">
        <w:rPr>
          <w:bCs/>
          <w:i/>
          <w:strike w:val="0"/>
        </w:rPr>
        <w:t>)</w:t>
      </w:r>
      <w:r>
        <w:rPr>
          <w:bCs/>
          <w:i/>
          <w:strike w:val="0"/>
        </w:rPr>
        <w:t>(C)</w:t>
      </w:r>
      <w:r w:rsidRPr="00EF29A0">
        <w:rPr>
          <w:bCs/>
          <w:i/>
          <w:strike w:val="0"/>
        </w:rPr>
        <w:t xml:space="preserve"> regarding physician type vers</w:t>
      </w:r>
      <w:r>
        <w:rPr>
          <w:bCs/>
          <w:i/>
          <w:strike w:val="0"/>
        </w:rPr>
        <w:t>u</w:t>
      </w:r>
      <w:r w:rsidRPr="00EF29A0">
        <w:rPr>
          <w:bCs/>
          <w:i/>
          <w:strike w:val="0"/>
        </w:rPr>
        <w:t>s physician specialty.</w:t>
      </w:r>
    </w:p>
    <w:p w:rsidR="00477AA0" w:rsidRDefault="00477AA0" w:rsidP="00E63BAE">
      <w:pPr>
        <w:overflowPunct w:val="0"/>
        <w:adjustRightInd w:val="0"/>
        <w:ind w:left="720"/>
        <w:textAlignment w:val="baseline"/>
        <w:rPr>
          <w:bCs/>
          <w:i/>
          <w:strike w:val="0"/>
        </w:rPr>
      </w:pPr>
    </w:p>
    <w:p w:rsidR="00FD7350" w:rsidRDefault="00477AA0" w:rsidP="00FD7350">
      <w:pPr>
        <w:overflowPunct w:val="0"/>
        <w:adjustRightInd w:val="0"/>
        <w:ind w:left="720"/>
        <w:textAlignment w:val="baseline"/>
        <w:rPr>
          <w:bCs/>
          <w:i/>
          <w:strike w:val="0"/>
        </w:rPr>
      </w:pPr>
      <w:r>
        <w:rPr>
          <w:bCs/>
          <w:i/>
          <w:strike w:val="0"/>
        </w:rPr>
        <w:t xml:space="preserve">See also the comment on section </w:t>
      </w:r>
      <w:r w:rsidR="00736282">
        <w:rPr>
          <w:bCs/>
          <w:i/>
          <w:strike w:val="0"/>
        </w:rPr>
        <w:t>(c</w:t>
      </w:r>
      <w:proofErr w:type="gramStart"/>
      <w:r w:rsidR="00736282">
        <w:rPr>
          <w:bCs/>
          <w:i/>
          <w:strike w:val="0"/>
        </w:rPr>
        <w:t>)(</w:t>
      </w:r>
      <w:proofErr w:type="gramEnd"/>
      <w:r w:rsidR="00736282">
        <w:rPr>
          <w:bCs/>
          <w:i/>
          <w:strike w:val="0"/>
        </w:rPr>
        <w:t>2).</w:t>
      </w:r>
      <w:r w:rsidR="004C2DD9" w:rsidRPr="00EF29A0">
        <w:rPr>
          <w:bCs/>
          <w:i/>
          <w:strike w:val="0"/>
        </w:rPr>
        <w:t xml:space="preserve"> </w:t>
      </w:r>
      <w:r w:rsidR="004C2DD9">
        <w:rPr>
          <w:bCs/>
          <w:i/>
          <w:strike w:val="0"/>
        </w:rPr>
        <w:t xml:space="preserve"> </w:t>
      </w:r>
      <w:r w:rsidR="00FD7350">
        <w:rPr>
          <w:bCs/>
          <w:i/>
          <w:strike w:val="0"/>
        </w:rPr>
        <w:t>The purpose of the newly proposed provider codes is not clear for this section as well and appears to be unnecessary.</w:t>
      </w:r>
    </w:p>
    <w:p w:rsidR="004C2DD9" w:rsidRDefault="004C2DD9" w:rsidP="00E63BAE">
      <w:pPr>
        <w:overflowPunct w:val="0"/>
        <w:adjustRightInd w:val="0"/>
        <w:ind w:left="720"/>
        <w:textAlignment w:val="baseline"/>
        <w:rPr>
          <w:bCs/>
          <w:i/>
          <w:strike w:val="0"/>
        </w:rPr>
      </w:pPr>
    </w:p>
    <w:p w:rsidR="0068590A" w:rsidRPr="00EF29A0" w:rsidRDefault="0068590A" w:rsidP="00E63BAE">
      <w:pPr>
        <w:overflowPunct w:val="0"/>
        <w:adjustRightInd w:val="0"/>
        <w:textAlignment w:val="baseline"/>
        <w:rPr>
          <w:strike w:val="0"/>
        </w:rPr>
      </w:pPr>
    </w:p>
    <w:p w:rsidR="008261A9" w:rsidRPr="00515AC0" w:rsidRDefault="008261A9" w:rsidP="00E63BAE">
      <w:pPr>
        <w:overflowPunct w:val="0"/>
        <w:adjustRightInd w:val="0"/>
        <w:ind w:right="-180"/>
        <w:textAlignment w:val="baseline"/>
        <w:rPr>
          <w:b/>
          <w:strike w:val="0"/>
        </w:rPr>
      </w:pPr>
      <w:r w:rsidRPr="00515AC0">
        <w:rPr>
          <w:rFonts w:ascii="Arial" w:hAnsi="Arial" w:cs="Arial"/>
          <w:b/>
          <w:strike w:val="0"/>
        </w:rPr>
        <w:t>§</w:t>
      </w:r>
      <w:r w:rsidRPr="00515AC0">
        <w:rPr>
          <w:b/>
          <w:strike w:val="0"/>
        </w:rPr>
        <w:t xml:space="preserve">9767.4.  Cover Page for Medical Provider Network Application or </w:t>
      </w:r>
      <w:r w:rsidR="00A25CA6">
        <w:rPr>
          <w:b/>
          <w:strike w:val="0"/>
        </w:rPr>
        <w:t>Plan</w:t>
      </w:r>
      <w:r w:rsidRPr="00515AC0">
        <w:rPr>
          <w:b/>
          <w:strike w:val="0"/>
        </w:rPr>
        <w:t xml:space="preserve"> for Approval</w:t>
      </w:r>
    </w:p>
    <w:p w:rsidR="000B299A" w:rsidRPr="00EF29A0" w:rsidRDefault="000B299A" w:rsidP="00E63BAE">
      <w:pPr>
        <w:overflowPunct w:val="0"/>
        <w:adjustRightInd w:val="0"/>
        <w:textAlignment w:val="baseline"/>
        <w:rPr>
          <w:strike w:val="0"/>
        </w:rPr>
      </w:pPr>
    </w:p>
    <w:p w:rsidR="008261A9" w:rsidRPr="00EF29A0" w:rsidRDefault="008261A9" w:rsidP="00E63BAE">
      <w:pPr>
        <w:overflowPunct w:val="0"/>
        <w:adjustRightInd w:val="0"/>
        <w:textAlignment w:val="baseline"/>
        <w:rPr>
          <w:strike w:val="0"/>
        </w:rPr>
      </w:pPr>
      <w:r w:rsidRPr="00EF29A0">
        <w:rPr>
          <w:strike w:val="0"/>
        </w:rPr>
        <w:t>4.</w:t>
      </w:r>
      <w:r w:rsidR="00CC120A" w:rsidRPr="00EF29A0">
        <w:rPr>
          <w:strike w:val="0"/>
        </w:rPr>
        <w:t xml:space="preserve"> </w:t>
      </w:r>
      <w:r w:rsidRPr="00EF29A0">
        <w:rPr>
          <w:strike w:val="0"/>
        </w:rPr>
        <w:t xml:space="preserve"> Eligibility Status of MPN Applicant</w:t>
      </w:r>
    </w:p>
    <w:p w:rsidR="008261A9" w:rsidRPr="00EF29A0" w:rsidRDefault="008261A9" w:rsidP="00E63BAE">
      <w:pPr>
        <w:overflowPunct w:val="0"/>
        <w:adjustRightInd w:val="0"/>
        <w:textAlignment w:val="baseline"/>
        <w:rPr>
          <w:strike w:val="0"/>
        </w:rPr>
      </w:pPr>
    </w:p>
    <w:p w:rsidR="007C6C17" w:rsidRDefault="008261A9" w:rsidP="00E63BAE">
      <w:pPr>
        <w:overflowPunct w:val="0"/>
        <w:adjustRightInd w:val="0"/>
        <w:textAlignment w:val="baseline"/>
        <w:rPr>
          <w:strike w:val="0"/>
        </w:rPr>
      </w:pPr>
      <w:proofErr w:type="gramStart"/>
      <w:r w:rsidRPr="00EF29A0">
        <w:rPr>
          <w:strike w:val="0"/>
        </w:rPr>
        <w:t>□  Self</w:t>
      </w:r>
      <w:proofErr w:type="gramEnd"/>
      <w:r w:rsidRPr="00EF29A0">
        <w:rPr>
          <w:strike w:val="0"/>
        </w:rPr>
        <w:t>-Insured Employer</w:t>
      </w:r>
      <w:r w:rsidRPr="00EF29A0">
        <w:rPr>
          <w:strike w:val="0"/>
        </w:rPr>
        <w:tab/>
        <w:t xml:space="preserve"> □  Insurer  (including CIGA,</w:t>
      </w:r>
      <w:r w:rsidR="00951B83" w:rsidRPr="00951B83">
        <w:rPr>
          <w:highlight w:val="yellow"/>
        </w:rPr>
        <w:t xml:space="preserve">SCIF </w:t>
      </w:r>
      <w:r w:rsidRPr="00951B83">
        <w:rPr>
          <w:strike w:val="0"/>
          <w:highlight w:val="yellow"/>
          <w:u w:val="single"/>
        </w:rPr>
        <w:t>State Fund</w:t>
      </w:r>
      <w:r w:rsidRPr="00EF29A0">
        <w:rPr>
          <w:strike w:val="0"/>
          <w:u w:val="single"/>
        </w:rPr>
        <w:t>)</w:t>
      </w:r>
      <w:r w:rsidRPr="00EF29A0">
        <w:rPr>
          <w:strike w:val="0"/>
        </w:rPr>
        <w:t xml:space="preserve">   </w:t>
      </w:r>
    </w:p>
    <w:p w:rsidR="00A446AB" w:rsidRDefault="008261A9" w:rsidP="00E63BAE">
      <w:pPr>
        <w:overflowPunct w:val="0"/>
        <w:adjustRightInd w:val="0"/>
        <w:textAlignment w:val="baseline"/>
        <w:rPr>
          <w:strike w:val="0"/>
        </w:rPr>
      </w:pPr>
      <w:proofErr w:type="gramStart"/>
      <w:r w:rsidRPr="00EF29A0">
        <w:rPr>
          <w:strike w:val="0"/>
        </w:rPr>
        <w:t>□  Group</w:t>
      </w:r>
      <w:proofErr w:type="gramEnd"/>
      <w:r w:rsidRPr="00EF29A0">
        <w:rPr>
          <w:strike w:val="0"/>
        </w:rPr>
        <w:t xml:space="preserve"> of Self-Insured Employers    </w:t>
      </w:r>
      <w:r w:rsidRPr="00EF29A0">
        <w:rPr>
          <w:strike w:val="0"/>
        </w:rPr>
        <w:tab/>
        <w:t xml:space="preserve">□  Joint Powers Authority    </w:t>
      </w:r>
      <w:r w:rsidRPr="00EF29A0">
        <w:rPr>
          <w:strike w:val="0"/>
        </w:rPr>
        <w:tab/>
        <w:t xml:space="preserve">□  State         </w:t>
      </w:r>
    </w:p>
    <w:p w:rsidR="008261A9" w:rsidRPr="00EF29A0" w:rsidRDefault="00A446AB" w:rsidP="00E63BAE">
      <w:pPr>
        <w:overflowPunct w:val="0"/>
        <w:adjustRightInd w:val="0"/>
        <w:textAlignment w:val="baseline"/>
        <w:rPr>
          <w:strike w:val="0"/>
        </w:rPr>
      </w:pPr>
      <w:r w:rsidRPr="00426B40">
        <w:rPr>
          <w:strike w:val="0"/>
          <w:highlight w:val="yellow"/>
          <w:u w:val="single"/>
        </w:rPr>
        <w:fldChar w:fldCharType="begin">
          <w:ffData>
            <w:name w:val="15"/>
            <w:enabled/>
            <w:calcOnExit w:val="0"/>
            <w:checkBox>
              <w:size w:val="20"/>
              <w:default w:val="0"/>
              <w:checked w:val="0"/>
            </w:checkBox>
          </w:ffData>
        </w:fldChar>
      </w:r>
      <w:r w:rsidRPr="00426B40">
        <w:rPr>
          <w:strike w:val="0"/>
          <w:highlight w:val="yellow"/>
          <w:u w:val="single"/>
        </w:rPr>
        <w:instrText xml:space="preserve"> FORMCHECKBOX </w:instrText>
      </w:r>
      <w:r w:rsidR="00323956">
        <w:rPr>
          <w:strike w:val="0"/>
          <w:highlight w:val="yellow"/>
          <w:u w:val="single"/>
        </w:rPr>
      </w:r>
      <w:r w:rsidR="00323956">
        <w:rPr>
          <w:strike w:val="0"/>
          <w:highlight w:val="yellow"/>
          <w:u w:val="single"/>
        </w:rPr>
        <w:fldChar w:fldCharType="separate"/>
      </w:r>
      <w:r w:rsidRPr="00426B40">
        <w:rPr>
          <w:strike w:val="0"/>
          <w:highlight w:val="yellow"/>
          <w:u w:val="single"/>
        </w:rPr>
        <w:fldChar w:fldCharType="end"/>
      </w:r>
      <w:r w:rsidRPr="00426B40">
        <w:rPr>
          <w:strike w:val="0"/>
          <w:highlight w:val="yellow"/>
          <w:u w:val="single"/>
        </w:rPr>
        <w:t xml:space="preserve">  </w:t>
      </w:r>
      <w:r w:rsidRPr="00437EAC">
        <w:rPr>
          <w:strike w:val="0"/>
          <w:highlight w:val="yellow"/>
          <w:u w:val="single"/>
        </w:rPr>
        <w:t>TPA</w:t>
      </w:r>
      <w:r w:rsidR="00951B83">
        <w:rPr>
          <w:strike w:val="0"/>
          <w:u w:val="single"/>
        </w:rPr>
        <w:tab/>
      </w:r>
      <w:proofErr w:type="gramStart"/>
      <w:r w:rsidR="008261A9" w:rsidRPr="00EF29A0">
        <w:rPr>
          <w:strike w:val="0"/>
        </w:rPr>
        <w:t>□  Entity</w:t>
      </w:r>
      <w:proofErr w:type="gramEnd"/>
      <w:r w:rsidR="008261A9" w:rsidRPr="00EF29A0">
        <w:rPr>
          <w:strike w:val="0"/>
        </w:rPr>
        <w:t xml:space="preserve"> that provides physician network services</w:t>
      </w:r>
    </w:p>
    <w:p w:rsidR="008261A9" w:rsidRPr="00EF29A0" w:rsidRDefault="008261A9" w:rsidP="00E63BAE">
      <w:pPr>
        <w:overflowPunct w:val="0"/>
        <w:adjustRightInd w:val="0"/>
        <w:textAlignment w:val="baseline"/>
        <w:rPr>
          <w:strike w:val="0"/>
        </w:rPr>
      </w:pPr>
    </w:p>
    <w:p w:rsidR="0043727E" w:rsidRDefault="00951B83" w:rsidP="00E63BAE">
      <w:pPr>
        <w:overflowPunct w:val="0"/>
        <w:adjustRightInd w:val="0"/>
        <w:ind w:left="720" w:right="-180"/>
        <w:textAlignment w:val="baseline"/>
        <w:rPr>
          <w:i/>
          <w:strike w:val="0"/>
        </w:rPr>
      </w:pPr>
      <w:r>
        <w:rPr>
          <w:i/>
          <w:strike w:val="0"/>
        </w:rPr>
        <w:t>The proper abbreviation for State Compensation Insurance Fund is “State Fund” and not “SCIF</w:t>
      </w:r>
      <w:r w:rsidR="0043727E">
        <w:rPr>
          <w:i/>
          <w:strike w:val="0"/>
        </w:rPr>
        <w:t>.</w:t>
      </w:r>
      <w:r>
        <w:rPr>
          <w:i/>
          <w:strike w:val="0"/>
        </w:rPr>
        <w:t>”</w:t>
      </w:r>
    </w:p>
    <w:p w:rsidR="0043727E" w:rsidRDefault="0043727E" w:rsidP="00E63BAE">
      <w:pPr>
        <w:overflowPunct w:val="0"/>
        <w:adjustRightInd w:val="0"/>
        <w:ind w:left="720" w:right="-180"/>
        <w:textAlignment w:val="baseline"/>
        <w:rPr>
          <w:i/>
          <w:strike w:val="0"/>
        </w:rPr>
      </w:pPr>
    </w:p>
    <w:p w:rsidR="00A446AB" w:rsidRDefault="00A446AB" w:rsidP="00E63BAE">
      <w:pPr>
        <w:overflowPunct w:val="0"/>
        <w:adjustRightInd w:val="0"/>
        <w:ind w:left="720" w:right="-180"/>
        <w:textAlignment w:val="baseline"/>
        <w:rPr>
          <w:i/>
          <w:strike w:val="0"/>
        </w:rPr>
      </w:pPr>
      <w:r>
        <w:rPr>
          <w:i/>
          <w:strike w:val="0"/>
        </w:rPr>
        <w:t>See comments on MPN Applicant in section 9767.1(a</w:t>
      </w:r>
      <w:proofErr w:type="gramStart"/>
      <w:r>
        <w:rPr>
          <w:i/>
          <w:strike w:val="0"/>
        </w:rPr>
        <w:t>)(</w:t>
      </w:r>
      <w:proofErr w:type="gramEnd"/>
      <w:r>
        <w:rPr>
          <w:i/>
          <w:strike w:val="0"/>
        </w:rPr>
        <w:t xml:space="preserve">19) regarding TPAs. </w:t>
      </w:r>
    </w:p>
    <w:p w:rsidR="008261A9" w:rsidRPr="00EF29A0" w:rsidRDefault="008261A9" w:rsidP="00E63BAE">
      <w:pPr>
        <w:overflowPunct w:val="0"/>
        <w:adjustRightInd w:val="0"/>
        <w:ind w:left="720"/>
        <w:textAlignment w:val="baseline"/>
        <w:rPr>
          <w:i/>
          <w:strike w:val="0"/>
        </w:rPr>
      </w:pPr>
    </w:p>
    <w:p w:rsidR="00A446AB" w:rsidRPr="0081394E" w:rsidRDefault="00A446AB"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trike w:val="0"/>
        </w:rPr>
      </w:pPr>
    </w:p>
    <w:p w:rsidR="008261A9" w:rsidRPr="00EF29A0" w:rsidRDefault="008261A9"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trike w:val="0"/>
        </w:rPr>
      </w:pPr>
      <w:r w:rsidRPr="007B6A6F">
        <w:rPr>
          <w:b/>
          <w:strike w:val="0"/>
        </w:rPr>
        <w:t>Section 9767.5 Access Standards</w:t>
      </w:r>
      <w:r w:rsidRPr="00EF29A0">
        <w:rPr>
          <w:b/>
          <w:strike w:val="0"/>
        </w:rPr>
        <w:t xml:space="preserve"> </w:t>
      </w:r>
    </w:p>
    <w:p w:rsidR="008261A9" w:rsidRDefault="008261A9"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rsidR="008A5C97" w:rsidRDefault="00425D9B"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trike w:val="0"/>
        </w:rPr>
      </w:pPr>
      <w:r w:rsidRPr="001238B7">
        <w:rPr>
          <w:strike w:val="0"/>
        </w:rPr>
        <w:t xml:space="preserve">The Institute </w:t>
      </w:r>
      <w:r w:rsidR="001238B7">
        <w:rPr>
          <w:strike w:val="0"/>
        </w:rPr>
        <w:t xml:space="preserve">continues to </w:t>
      </w:r>
      <w:r w:rsidRPr="001238B7">
        <w:rPr>
          <w:strike w:val="0"/>
        </w:rPr>
        <w:t xml:space="preserve">urge the Administrative Director to consider the access standards based on the Insurance </w:t>
      </w:r>
      <w:r w:rsidR="008A5C97" w:rsidRPr="001238B7">
        <w:rPr>
          <w:strike w:val="0"/>
        </w:rPr>
        <w:t>Commissioner’s</w:t>
      </w:r>
      <w:r w:rsidRPr="001238B7">
        <w:rPr>
          <w:strike w:val="0"/>
        </w:rPr>
        <w:t xml:space="preserve"> </w:t>
      </w:r>
      <w:r w:rsidR="008A5C97" w:rsidRPr="001238B7">
        <w:rPr>
          <w:strike w:val="0"/>
        </w:rPr>
        <w:t xml:space="preserve">standards that were </w:t>
      </w:r>
      <w:r w:rsidRPr="001238B7">
        <w:rPr>
          <w:strike w:val="0"/>
        </w:rPr>
        <w:t xml:space="preserve">recommended by the Institute in its written testimony </w:t>
      </w:r>
      <w:r w:rsidR="008A5C97" w:rsidRPr="001238B7">
        <w:rPr>
          <w:strike w:val="0"/>
        </w:rPr>
        <w:t>on</w:t>
      </w:r>
      <w:r w:rsidRPr="001238B7">
        <w:rPr>
          <w:strike w:val="0"/>
        </w:rPr>
        <w:t xml:space="preserve"> the proposed revi</w:t>
      </w:r>
      <w:r w:rsidR="008A5C97" w:rsidRPr="001238B7">
        <w:rPr>
          <w:strike w:val="0"/>
        </w:rPr>
        <w:t>si</w:t>
      </w:r>
      <w:r w:rsidRPr="001238B7">
        <w:rPr>
          <w:strike w:val="0"/>
        </w:rPr>
        <w:t>ons to the MPN regulations.</w:t>
      </w:r>
    </w:p>
    <w:p w:rsidR="00F71A9F" w:rsidRDefault="00F71A9F"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trike w:val="0"/>
        </w:rPr>
      </w:pPr>
    </w:p>
    <w:p w:rsidR="00425D9B" w:rsidRPr="00425D9B" w:rsidRDefault="00425D9B" w:rsidP="00E63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trike w:val="0"/>
        </w:rPr>
      </w:pPr>
      <w:r w:rsidRPr="00425D9B">
        <w:rPr>
          <w:strike w:val="0"/>
        </w:rPr>
        <w:t xml:space="preserve"> </w:t>
      </w:r>
    </w:p>
    <w:p w:rsidR="008261A9" w:rsidRPr="00120686" w:rsidRDefault="00120686" w:rsidP="00120686">
      <w:pPr>
        <w:overflowPunct w:val="0"/>
        <w:adjustRightInd w:val="0"/>
        <w:textAlignment w:val="baseline"/>
        <w:rPr>
          <w:strike w:val="0"/>
          <w:u w:val="single"/>
        </w:rPr>
      </w:pPr>
      <w:r>
        <w:rPr>
          <w:strike w:val="0"/>
        </w:rPr>
        <w:t xml:space="preserve">(a) </w:t>
      </w:r>
      <w:r w:rsidR="008261A9" w:rsidRPr="00EF29A0">
        <w:rPr>
          <w:strike w:val="0"/>
        </w:rPr>
        <w:t>A</w:t>
      </w:r>
      <w:r w:rsidR="006B01F8" w:rsidRPr="0004260B">
        <w:rPr>
          <w:strike w:val="0"/>
          <w:highlight w:val="yellow"/>
          <w:u w:val="single"/>
        </w:rPr>
        <w:t>n</w:t>
      </w:r>
      <w:r w:rsidR="008261A9" w:rsidRPr="00EF29A0">
        <w:rPr>
          <w:strike w:val="0"/>
        </w:rPr>
        <w:t xml:space="preserve"> MPN </w:t>
      </w:r>
      <w:r w:rsidR="008261A9" w:rsidRPr="00B35C4B">
        <w:rPr>
          <w:highlight w:val="yellow"/>
        </w:rPr>
        <w:t xml:space="preserve">must have </w:t>
      </w:r>
      <w:r w:rsidR="008261A9" w:rsidRPr="00CF395D">
        <w:rPr>
          <w:highlight w:val="yellow"/>
        </w:rPr>
        <w:t xml:space="preserve">at least three </w:t>
      </w:r>
      <w:r w:rsidR="00EA0C9B" w:rsidRPr="00B35C4B">
        <w:rPr>
          <w:highlight w:val="yellow"/>
        </w:rPr>
        <w:t>availabl</w:t>
      </w:r>
      <w:r w:rsidR="00EA0C9B" w:rsidRPr="008B68A8">
        <w:rPr>
          <w:highlight w:val="yellow"/>
        </w:rPr>
        <w:t xml:space="preserve">e </w:t>
      </w:r>
      <w:r w:rsidR="00B35C4B" w:rsidRPr="00B35C4B">
        <w:rPr>
          <w:strike w:val="0"/>
          <w:highlight w:val="yellow"/>
          <w:u w:val="single"/>
        </w:rPr>
        <w:t xml:space="preserve">shall </w:t>
      </w:r>
      <w:r w:rsidR="00CF395D" w:rsidRPr="00B35C4B">
        <w:rPr>
          <w:strike w:val="0"/>
          <w:highlight w:val="yellow"/>
          <w:u w:val="single"/>
        </w:rPr>
        <w:t xml:space="preserve">include </w:t>
      </w:r>
      <w:r w:rsidR="008D0A3A" w:rsidRPr="00B35C4B">
        <w:rPr>
          <w:strike w:val="0"/>
          <w:highlight w:val="yellow"/>
          <w:u w:val="single"/>
        </w:rPr>
        <w:t>physicians primarily engaged in the treatment of occupational injuries</w:t>
      </w:r>
      <w:r w:rsidR="00B35C4B" w:rsidRPr="00B35C4B">
        <w:rPr>
          <w:strike w:val="0"/>
          <w:highlight w:val="yellow"/>
          <w:u w:val="single"/>
        </w:rPr>
        <w:t>, and</w:t>
      </w:r>
      <w:r w:rsidR="00B35C4B">
        <w:rPr>
          <w:strike w:val="0"/>
          <w:u w:val="single"/>
        </w:rPr>
        <w:t xml:space="preserve"> </w:t>
      </w:r>
      <w:r w:rsidR="008261A9" w:rsidRPr="00EF29A0">
        <w:rPr>
          <w:strike w:val="0"/>
        </w:rPr>
        <w:t xml:space="preserve">physicians of each </w:t>
      </w:r>
      <w:r w:rsidR="008261A9" w:rsidRPr="00DC22DF">
        <w:rPr>
          <w:highlight w:val="yellow"/>
        </w:rPr>
        <w:t>specialty</w:t>
      </w:r>
      <w:r w:rsidR="008261A9" w:rsidRPr="00DC22DF">
        <w:rPr>
          <w:strike w:val="0"/>
          <w:highlight w:val="yellow"/>
          <w:u w:val="single"/>
        </w:rPr>
        <w:t xml:space="preserve"> type</w:t>
      </w:r>
      <w:r w:rsidR="00DC22DF" w:rsidRPr="00DC22DF">
        <w:rPr>
          <w:strike w:val="0"/>
          <w:highlight w:val="yellow"/>
          <w:u w:val="single"/>
        </w:rPr>
        <w:t xml:space="preserve"> described in </w:t>
      </w:r>
      <w:r w:rsidR="00AB2207">
        <w:rPr>
          <w:strike w:val="0"/>
          <w:highlight w:val="yellow"/>
          <w:u w:val="single"/>
        </w:rPr>
        <w:t xml:space="preserve">Labor Code </w:t>
      </w:r>
      <w:r w:rsidR="00DC22DF" w:rsidRPr="00DC22DF">
        <w:rPr>
          <w:strike w:val="0"/>
          <w:highlight w:val="yellow"/>
          <w:u w:val="single"/>
        </w:rPr>
        <w:t>Section 3209.3</w:t>
      </w:r>
      <w:r w:rsidR="008261A9" w:rsidRPr="00EF29A0">
        <w:rPr>
          <w:strike w:val="0"/>
        </w:rPr>
        <w:t xml:space="preserve"> to treat common injuries experienced by injured employees based on the type of occupation or industry in which the employee is engaged and within the access standards set forth in (</w:t>
      </w:r>
      <w:r>
        <w:rPr>
          <w:strike w:val="0"/>
        </w:rPr>
        <w:t>1</w:t>
      </w:r>
      <w:r w:rsidR="008261A9" w:rsidRPr="00EF29A0">
        <w:rPr>
          <w:strike w:val="0"/>
        </w:rPr>
        <w:t>) and (</w:t>
      </w:r>
      <w:r>
        <w:rPr>
          <w:strike w:val="0"/>
        </w:rPr>
        <w:t>2</w:t>
      </w:r>
      <w:r w:rsidR="008261A9" w:rsidRPr="00EF29A0">
        <w:rPr>
          <w:strike w:val="0"/>
        </w:rPr>
        <w:t>).</w:t>
      </w:r>
      <w:r w:rsidR="000161C4">
        <w:rPr>
          <w:strike w:val="0"/>
        </w:rPr>
        <w:t xml:space="preserve">  </w:t>
      </w:r>
      <w:r>
        <w:rPr>
          <w:strike w:val="0"/>
          <w:u w:val="single"/>
        </w:rPr>
        <w:t xml:space="preserve">An MPN shall meet the access standards for </w:t>
      </w:r>
      <w:r w:rsidR="00306231">
        <w:rPr>
          <w:strike w:val="0"/>
          <w:u w:val="single"/>
        </w:rPr>
        <w:t xml:space="preserve">those </w:t>
      </w:r>
      <w:r w:rsidR="00873C47">
        <w:rPr>
          <w:strike w:val="0"/>
          <w:u w:val="single"/>
        </w:rPr>
        <w:t>physician</w:t>
      </w:r>
      <w:r w:rsidR="00306231" w:rsidRPr="00306231">
        <w:rPr>
          <w:strike w:val="0"/>
          <w:u w:val="single"/>
        </w:rPr>
        <w:t xml:space="preserve"> </w:t>
      </w:r>
      <w:r w:rsidR="00306231">
        <w:rPr>
          <w:strike w:val="0"/>
          <w:u w:val="single"/>
        </w:rPr>
        <w:t>types</w:t>
      </w:r>
      <w:r w:rsidR="00427AF9">
        <w:rPr>
          <w:strike w:val="0"/>
          <w:u w:val="single"/>
        </w:rPr>
        <w:t>.</w:t>
      </w:r>
    </w:p>
    <w:p w:rsidR="002A38B2" w:rsidRDefault="002A38B2" w:rsidP="001238B7">
      <w:pPr>
        <w:overflowPunct w:val="0"/>
        <w:adjustRightInd w:val="0"/>
        <w:ind w:left="360"/>
        <w:textAlignment w:val="baseline"/>
        <w:rPr>
          <w:bCs/>
          <w:i/>
          <w:strike w:val="0"/>
        </w:rPr>
      </w:pPr>
    </w:p>
    <w:p w:rsidR="00DF6165" w:rsidRPr="002852DB" w:rsidRDefault="00492DF8" w:rsidP="001238B7">
      <w:pPr>
        <w:overflowPunct w:val="0"/>
        <w:adjustRightInd w:val="0"/>
        <w:ind w:left="360"/>
        <w:textAlignment w:val="baseline"/>
        <w:rPr>
          <w:bCs/>
          <w:i/>
          <w:strike w:val="0"/>
        </w:rPr>
      </w:pPr>
      <w:r w:rsidRPr="0081394E">
        <w:rPr>
          <w:bCs/>
          <w:i/>
          <w:strike w:val="0"/>
        </w:rPr>
        <w:t xml:space="preserve">CCR, </w:t>
      </w:r>
      <w:r w:rsidR="002975B0" w:rsidRPr="0081394E">
        <w:rPr>
          <w:bCs/>
          <w:i/>
          <w:strike w:val="0"/>
        </w:rPr>
        <w:t xml:space="preserve">Title 10, </w:t>
      </w:r>
      <w:r w:rsidR="00833B4B" w:rsidRPr="0081394E">
        <w:rPr>
          <w:bCs/>
          <w:i/>
          <w:strike w:val="0"/>
        </w:rPr>
        <w:t>section 2240.1</w:t>
      </w:r>
      <w:r w:rsidR="00990E71" w:rsidRPr="0081394E">
        <w:rPr>
          <w:bCs/>
          <w:i/>
          <w:strike w:val="0"/>
        </w:rPr>
        <w:t>(c)</w:t>
      </w:r>
      <w:r w:rsidR="00833B4B" w:rsidRPr="0081394E">
        <w:rPr>
          <w:bCs/>
          <w:i/>
          <w:strike w:val="0"/>
        </w:rPr>
        <w:t xml:space="preserve"> </w:t>
      </w:r>
      <w:r w:rsidR="00676575" w:rsidRPr="0081394E">
        <w:rPr>
          <w:bCs/>
          <w:i/>
          <w:strike w:val="0"/>
        </w:rPr>
        <w:t xml:space="preserve">addresses </w:t>
      </w:r>
      <w:r w:rsidR="00F37AFB" w:rsidRPr="0081394E">
        <w:rPr>
          <w:bCs/>
          <w:i/>
          <w:strike w:val="0"/>
        </w:rPr>
        <w:t xml:space="preserve">time/distance </w:t>
      </w:r>
      <w:r w:rsidRPr="0081394E">
        <w:rPr>
          <w:bCs/>
          <w:i/>
          <w:strike w:val="0"/>
        </w:rPr>
        <w:t xml:space="preserve">provider network </w:t>
      </w:r>
      <w:r w:rsidR="00833B4B" w:rsidRPr="0081394E">
        <w:rPr>
          <w:bCs/>
          <w:i/>
          <w:strike w:val="0"/>
        </w:rPr>
        <w:t>access</w:t>
      </w:r>
      <w:r w:rsidR="00833B4B">
        <w:rPr>
          <w:bCs/>
          <w:i/>
          <w:strike w:val="0"/>
        </w:rPr>
        <w:t xml:space="preserve"> standards </w:t>
      </w:r>
      <w:r w:rsidR="008D454C">
        <w:rPr>
          <w:bCs/>
          <w:i/>
          <w:strike w:val="0"/>
        </w:rPr>
        <w:t xml:space="preserve">that the Insurance Commissioner requires </w:t>
      </w:r>
      <w:r w:rsidR="00676575">
        <w:rPr>
          <w:bCs/>
          <w:i/>
          <w:strike w:val="0"/>
        </w:rPr>
        <w:t>for</w:t>
      </w:r>
      <w:r w:rsidR="00833B4B">
        <w:rPr>
          <w:bCs/>
          <w:i/>
          <w:strike w:val="0"/>
        </w:rPr>
        <w:t xml:space="preserve"> </w:t>
      </w:r>
      <w:r>
        <w:rPr>
          <w:bCs/>
          <w:i/>
          <w:strike w:val="0"/>
        </w:rPr>
        <w:t>disability policies and agreements</w:t>
      </w:r>
      <w:r w:rsidR="00833B4B">
        <w:rPr>
          <w:bCs/>
          <w:i/>
          <w:strike w:val="0"/>
        </w:rPr>
        <w:t xml:space="preserve">.  </w:t>
      </w:r>
      <w:r w:rsidR="00676575">
        <w:rPr>
          <w:bCs/>
          <w:i/>
          <w:strike w:val="0"/>
        </w:rPr>
        <w:t>Those</w:t>
      </w:r>
      <w:r w:rsidR="00083775">
        <w:rPr>
          <w:bCs/>
          <w:i/>
          <w:strike w:val="0"/>
        </w:rPr>
        <w:t xml:space="preserve"> standards </w:t>
      </w:r>
      <w:r w:rsidR="00B37BFB">
        <w:rPr>
          <w:bCs/>
          <w:i/>
          <w:strike w:val="0"/>
        </w:rPr>
        <w:t xml:space="preserve">require </w:t>
      </w:r>
      <w:r w:rsidR="00B37BFB" w:rsidRPr="002852DB">
        <w:rPr>
          <w:b/>
          <w:bCs/>
          <w:i/>
          <w:strike w:val="0"/>
        </w:rPr>
        <w:t>“primary care network providers with sufficient capacity to accept covered persons within 30 minutes or 15 miles of each covered person’s residence or workplace</w:t>
      </w:r>
      <w:r w:rsidR="00203FA0" w:rsidRPr="002852DB">
        <w:rPr>
          <w:b/>
          <w:bCs/>
          <w:i/>
          <w:strike w:val="0"/>
        </w:rPr>
        <w:t>,</w:t>
      </w:r>
      <w:r w:rsidR="00ED4BE3" w:rsidRPr="002852DB">
        <w:rPr>
          <w:b/>
          <w:bCs/>
          <w:i/>
          <w:strike w:val="0"/>
        </w:rPr>
        <w:t>”</w:t>
      </w:r>
      <w:r w:rsidR="00203FA0">
        <w:rPr>
          <w:bCs/>
          <w:i/>
          <w:strike w:val="0"/>
        </w:rPr>
        <w:t xml:space="preserve"> and </w:t>
      </w:r>
      <w:r w:rsidR="00203FA0" w:rsidRPr="002852DB">
        <w:rPr>
          <w:b/>
          <w:bCs/>
          <w:i/>
          <w:strike w:val="0"/>
        </w:rPr>
        <w:t>“medically required network specialists who are certified or eligible for certification by the appropriate specialty board with sufficient capacity to accept covered persons within 60 minutes or 30 miles of a covered person’s residence or workplace.”</w:t>
      </w:r>
      <w:r w:rsidR="00CB257F">
        <w:rPr>
          <w:bCs/>
          <w:i/>
          <w:strike w:val="0"/>
        </w:rPr>
        <w:t xml:space="preserve">  </w:t>
      </w:r>
      <w:r w:rsidR="00ED4BE3">
        <w:rPr>
          <w:bCs/>
          <w:i/>
          <w:strike w:val="0"/>
        </w:rPr>
        <w:t xml:space="preserve">Primary care physician is defined in </w:t>
      </w:r>
      <w:r w:rsidR="00AD3D38" w:rsidRPr="00AD3D38">
        <w:rPr>
          <w:bCs/>
          <w:i/>
          <w:strike w:val="0"/>
        </w:rPr>
        <w:t xml:space="preserve">CCR, Title 10, </w:t>
      </w:r>
      <w:proofErr w:type="gramStart"/>
      <w:r w:rsidR="00AD3D38" w:rsidRPr="00AD3D38">
        <w:rPr>
          <w:bCs/>
          <w:i/>
          <w:strike w:val="0"/>
        </w:rPr>
        <w:t>section</w:t>
      </w:r>
      <w:proofErr w:type="gramEnd"/>
      <w:r w:rsidR="00AD3D38" w:rsidRPr="00AD3D38">
        <w:rPr>
          <w:bCs/>
          <w:i/>
          <w:strike w:val="0"/>
        </w:rPr>
        <w:t xml:space="preserve"> 2240</w:t>
      </w:r>
      <w:r w:rsidR="00ED4BE3">
        <w:rPr>
          <w:bCs/>
          <w:i/>
          <w:strike w:val="0"/>
        </w:rPr>
        <w:t xml:space="preserve">(k) </w:t>
      </w:r>
      <w:r w:rsidR="00DF6165">
        <w:rPr>
          <w:bCs/>
          <w:i/>
          <w:strike w:val="0"/>
        </w:rPr>
        <w:t>as</w:t>
      </w:r>
      <w:r w:rsidR="00DF6165" w:rsidRPr="00DF6165">
        <w:rPr>
          <w:bCs/>
          <w:i/>
          <w:strike w:val="0"/>
        </w:rPr>
        <w:t xml:space="preserve"> </w:t>
      </w:r>
      <w:r w:rsidR="00DF6165" w:rsidRPr="002852DB">
        <w:rPr>
          <w:b/>
          <w:bCs/>
          <w:i/>
          <w:strike w:val="0"/>
        </w:rPr>
        <w:t>"a physician who is responsible for providing initial and primary care to patients, for maintaining the continuity of patient care or for initiating referral for specialist care. A primary care physician may be either a physician who has limited his practice of medicine to general practice or who is a board-certified or board-eligible internist, pediatrician, obstetrician-gynecologist or family practitioner.</w:t>
      </w:r>
      <w:r w:rsidR="0011667B" w:rsidRPr="002852DB">
        <w:rPr>
          <w:b/>
          <w:bCs/>
          <w:i/>
          <w:strike w:val="0"/>
        </w:rPr>
        <w:t>”</w:t>
      </w:r>
    </w:p>
    <w:p w:rsidR="00DF6165" w:rsidRDefault="00DF6165" w:rsidP="001238B7">
      <w:pPr>
        <w:overflowPunct w:val="0"/>
        <w:adjustRightInd w:val="0"/>
        <w:ind w:left="360"/>
        <w:textAlignment w:val="baseline"/>
        <w:rPr>
          <w:bCs/>
          <w:i/>
          <w:strike w:val="0"/>
        </w:rPr>
      </w:pPr>
    </w:p>
    <w:p w:rsidR="001E1C1C" w:rsidRDefault="00D73AEC" w:rsidP="001238B7">
      <w:pPr>
        <w:overflowPunct w:val="0"/>
        <w:adjustRightInd w:val="0"/>
        <w:ind w:left="360"/>
        <w:textAlignment w:val="baseline"/>
        <w:rPr>
          <w:bCs/>
          <w:i/>
          <w:strike w:val="0"/>
        </w:rPr>
      </w:pPr>
      <w:r>
        <w:rPr>
          <w:bCs/>
          <w:i/>
          <w:strike w:val="0"/>
        </w:rPr>
        <w:t>T</w:t>
      </w:r>
      <w:r w:rsidR="00CF0D22">
        <w:rPr>
          <w:bCs/>
          <w:i/>
          <w:strike w:val="0"/>
        </w:rPr>
        <w:t xml:space="preserve">here is no necessity for </w:t>
      </w:r>
      <w:r w:rsidR="00833B4B">
        <w:rPr>
          <w:bCs/>
          <w:i/>
          <w:strike w:val="0"/>
        </w:rPr>
        <w:t xml:space="preserve">workers’ compensation </w:t>
      </w:r>
      <w:r w:rsidR="00D600AF">
        <w:rPr>
          <w:bCs/>
          <w:i/>
          <w:strike w:val="0"/>
        </w:rPr>
        <w:t xml:space="preserve">provider network </w:t>
      </w:r>
      <w:r w:rsidR="00990E71">
        <w:rPr>
          <w:bCs/>
          <w:i/>
          <w:strike w:val="0"/>
        </w:rPr>
        <w:t xml:space="preserve">time/distance </w:t>
      </w:r>
      <w:r w:rsidR="00D600AF">
        <w:rPr>
          <w:bCs/>
          <w:i/>
          <w:strike w:val="0"/>
        </w:rPr>
        <w:t>access</w:t>
      </w:r>
      <w:r w:rsidR="00CF0D22" w:rsidRPr="00CF0D22">
        <w:rPr>
          <w:bCs/>
          <w:i/>
          <w:strike w:val="0"/>
        </w:rPr>
        <w:t xml:space="preserve"> </w:t>
      </w:r>
      <w:r w:rsidR="00CF0D22">
        <w:rPr>
          <w:bCs/>
          <w:i/>
          <w:strike w:val="0"/>
        </w:rPr>
        <w:t xml:space="preserve">standards to exceed or differ from </w:t>
      </w:r>
      <w:r>
        <w:rPr>
          <w:bCs/>
          <w:i/>
          <w:strike w:val="0"/>
        </w:rPr>
        <w:t>those</w:t>
      </w:r>
      <w:r w:rsidR="00CF0D22">
        <w:rPr>
          <w:bCs/>
          <w:i/>
          <w:strike w:val="0"/>
        </w:rPr>
        <w:t xml:space="preserve"> </w:t>
      </w:r>
      <w:r w:rsidR="004077EF">
        <w:rPr>
          <w:bCs/>
          <w:i/>
          <w:strike w:val="0"/>
        </w:rPr>
        <w:t>required by the Insurance Commissioner</w:t>
      </w:r>
      <w:r>
        <w:rPr>
          <w:bCs/>
          <w:i/>
          <w:strike w:val="0"/>
        </w:rPr>
        <w:t xml:space="preserve"> </w:t>
      </w:r>
      <w:r w:rsidR="00D600AF">
        <w:rPr>
          <w:bCs/>
          <w:i/>
          <w:strike w:val="0"/>
        </w:rPr>
        <w:t xml:space="preserve">for </w:t>
      </w:r>
      <w:r w:rsidR="004077EF">
        <w:rPr>
          <w:bCs/>
          <w:i/>
          <w:strike w:val="0"/>
        </w:rPr>
        <w:t>provider networks used by disability insurers,</w:t>
      </w:r>
      <w:r w:rsidR="00D600AF">
        <w:rPr>
          <w:bCs/>
          <w:i/>
          <w:strike w:val="0"/>
        </w:rPr>
        <w:t xml:space="preserve"> </w:t>
      </w:r>
      <w:r>
        <w:rPr>
          <w:bCs/>
          <w:i/>
          <w:strike w:val="0"/>
        </w:rPr>
        <w:t>and t</w:t>
      </w:r>
      <w:r w:rsidR="00676575">
        <w:rPr>
          <w:bCs/>
          <w:i/>
          <w:strike w:val="0"/>
        </w:rPr>
        <w:t xml:space="preserve">here is no statutory requirement </w:t>
      </w:r>
      <w:r w:rsidR="004077EF">
        <w:rPr>
          <w:bCs/>
          <w:i/>
          <w:strike w:val="0"/>
        </w:rPr>
        <w:t xml:space="preserve">for </w:t>
      </w:r>
      <w:r w:rsidR="00A862B3">
        <w:rPr>
          <w:bCs/>
          <w:i/>
          <w:strike w:val="0"/>
        </w:rPr>
        <w:t>an</w:t>
      </w:r>
      <w:r w:rsidR="00676575">
        <w:rPr>
          <w:bCs/>
          <w:i/>
          <w:strike w:val="0"/>
        </w:rPr>
        <w:t xml:space="preserve"> </w:t>
      </w:r>
      <w:r w:rsidR="00A862B3">
        <w:rPr>
          <w:bCs/>
          <w:i/>
          <w:strike w:val="0"/>
        </w:rPr>
        <w:t xml:space="preserve">MPN to include </w:t>
      </w:r>
      <w:r w:rsidR="00676575" w:rsidRPr="0036358B">
        <w:rPr>
          <w:bCs/>
          <w:i/>
          <w:strike w:val="0"/>
          <w:u w:val="single"/>
        </w:rPr>
        <w:t>three</w:t>
      </w:r>
      <w:r w:rsidR="00676575">
        <w:rPr>
          <w:bCs/>
          <w:i/>
          <w:strike w:val="0"/>
        </w:rPr>
        <w:t xml:space="preserve"> physicians within the time/distance access standards. </w:t>
      </w:r>
      <w:r w:rsidR="00C3605B">
        <w:rPr>
          <w:bCs/>
          <w:i/>
          <w:strike w:val="0"/>
        </w:rPr>
        <w:t xml:space="preserve"> </w:t>
      </w:r>
      <w:r w:rsidR="009F56E3">
        <w:rPr>
          <w:bCs/>
          <w:i/>
          <w:strike w:val="0"/>
        </w:rPr>
        <w:t xml:space="preserve">We note that a group disability insurance policy pursuant to Labor Code section 4616.7(c) is deemed an approved MPN.  </w:t>
      </w:r>
      <w:r w:rsidR="00C3605B">
        <w:rPr>
          <w:bCs/>
          <w:i/>
          <w:strike w:val="0"/>
        </w:rPr>
        <w:t>The Institute recommends</w:t>
      </w:r>
      <w:r w:rsidR="009B3E86">
        <w:rPr>
          <w:bCs/>
          <w:i/>
          <w:strike w:val="0"/>
        </w:rPr>
        <w:t xml:space="preserve"> </w:t>
      </w:r>
      <w:r w:rsidR="002A38B2">
        <w:rPr>
          <w:bCs/>
          <w:i/>
          <w:strike w:val="0"/>
        </w:rPr>
        <w:t>basing</w:t>
      </w:r>
      <w:r w:rsidR="009B3E86">
        <w:rPr>
          <w:bCs/>
          <w:i/>
          <w:strike w:val="0"/>
        </w:rPr>
        <w:t xml:space="preserve"> the </w:t>
      </w:r>
      <w:r w:rsidR="006A3AD7">
        <w:rPr>
          <w:bCs/>
          <w:i/>
          <w:strike w:val="0"/>
        </w:rPr>
        <w:t xml:space="preserve">MPN </w:t>
      </w:r>
      <w:r w:rsidR="009B3E86">
        <w:rPr>
          <w:bCs/>
          <w:i/>
          <w:strike w:val="0"/>
        </w:rPr>
        <w:t>time</w:t>
      </w:r>
      <w:r w:rsidR="00F555C3">
        <w:rPr>
          <w:bCs/>
          <w:i/>
          <w:strike w:val="0"/>
        </w:rPr>
        <w:t>/</w:t>
      </w:r>
      <w:r w:rsidR="009B3E86">
        <w:rPr>
          <w:bCs/>
          <w:i/>
          <w:strike w:val="0"/>
        </w:rPr>
        <w:t xml:space="preserve">distance access standards </w:t>
      </w:r>
      <w:r w:rsidR="006A3AD7">
        <w:rPr>
          <w:bCs/>
          <w:i/>
          <w:strike w:val="0"/>
        </w:rPr>
        <w:t xml:space="preserve">to those </w:t>
      </w:r>
      <w:r w:rsidR="00F555C3">
        <w:rPr>
          <w:bCs/>
          <w:i/>
          <w:strike w:val="0"/>
        </w:rPr>
        <w:t>that apply to provider networks used by disability insurers</w:t>
      </w:r>
      <w:r w:rsidR="006A3AD7">
        <w:rPr>
          <w:bCs/>
          <w:i/>
          <w:strike w:val="0"/>
        </w:rPr>
        <w:t>.</w:t>
      </w:r>
      <w:r w:rsidR="007C62A3">
        <w:rPr>
          <w:bCs/>
          <w:i/>
          <w:strike w:val="0"/>
        </w:rPr>
        <w:t xml:space="preserve">  </w:t>
      </w:r>
    </w:p>
    <w:p w:rsidR="00761BA0" w:rsidRDefault="00761BA0" w:rsidP="001238B7">
      <w:pPr>
        <w:overflowPunct w:val="0"/>
        <w:adjustRightInd w:val="0"/>
        <w:ind w:left="360"/>
        <w:textAlignment w:val="baseline"/>
        <w:rPr>
          <w:bCs/>
          <w:i/>
          <w:strike w:val="0"/>
        </w:rPr>
      </w:pPr>
    </w:p>
    <w:p w:rsidR="002A38B2" w:rsidRDefault="005A0685" w:rsidP="001238B7">
      <w:pPr>
        <w:overflowPunct w:val="0"/>
        <w:adjustRightInd w:val="0"/>
        <w:ind w:left="360"/>
        <w:textAlignment w:val="baseline"/>
        <w:rPr>
          <w:bCs/>
          <w:i/>
          <w:strike w:val="0"/>
        </w:rPr>
      </w:pPr>
      <w:r>
        <w:rPr>
          <w:bCs/>
          <w:i/>
          <w:strike w:val="0"/>
        </w:rPr>
        <w:t>It is not clear what is meant by</w:t>
      </w:r>
      <w:r w:rsidR="00761BA0">
        <w:rPr>
          <w:bCs/>
          <w:i/>
          <w:strike w:val="0"/>
        </w:rPr>
        <w:t xml:space="preserve"> “available physician</w:t>
      </w:r>
      <w:r>
        <w:rPr>
          <w:bCs/>
          <w:i/>
          <w:strike w:val="0"/>
        </w:rPr>
        <w:t>.</w:t>
      </w:r>
      <w:r w:rsidR="00761BA0">
        <w:rPr>
          <w:bCs/>
          <w:i/>
          <w:strike w:val="0"/>
        </w:rPr>
        <w:t xml:space="preserve">” </w:t>
      </w:r>
      <w:r>
        <w:rPr>
          <w:bCs/>
          <w:i/>
          <w:strike w:val="0"/>
        </w:rPr>
        <w:t xml:space="preserve"> </w:t>
      </w:r>
      <w:r w:rsidR="00CF395D">
        <w:rPr>
          <w:bCs/>
          <w:i/>
          <w:strike w:val="0"/>
        </w:rPr>
        <w:t>If t</w:t>
      </w:r>
      <w:r>
        <w:rPr>
          <w:bCs/>
          <w:i/>
          <w:strike w:val="0"/>
        </w:rPr>
        <w:t xml:space="preserve">he term </w:t>
      </w:r>
      <w:r w:rsidR="00CF395D">
        <w:rPr>
          <w:bCs/>
          <w:i/>
          <w:strike w:val="0"/>
        </w:rPr>
        <w:t xml:space="preserve">remains, it </w:t>
      </w:r>
      <w:r>
        <w:rPr>
          <w:bCs/>
          <w:i/>
          <w:strike w:val="0"/>
        </w:rPr>
        <w:t>will generate unnecessary disputes over whether or not a physician is “available.”</w:t>
      </w:r>
      <w:r w:rsidR="00CF395D">
        <w:rPr>
          <w:bCs/>
          <w:i/>
          <w:strike w:val="0"/>
        </w:rPr>
        <w:t xml:space="preserve">  </w:t>
      </w:r>
    </w:p>
    <w:p w:rsidR="002A38B2" w:rsidRDefault="002A38B2" w:rsidP="001238B7">
      <w:pPr>
        <w:overflowPunct w:val="0"/>
        <w:adjustRightInd w:val="0"/>
        <w:ind w:left="360"/>
        <w:textAlignment w:val="baseline"/>
        <w:rPr>
          <w:bCs/>
          <w:i/>
          <w:strike w:val="0"/>
        </w:rPr>
      </w:pPr>
    </w:p>
    <w:p w:rsidR="00761BA0" w:rsidRDefault="00761BA0" w:rsidP="001238B7">
      <w:pPr>
        <w:overflowPunct w:val="0"/>
        <w:adjustRightInd w:val="0"/>
        <w:ind w:left="360"/>
        <w:textAlignment w:val="baseline"/>
        <w:rPr>
          <w:bCs/>
          <w:i/>
          <w:strike w:val="0"/>
        </w:rPr>
      </w:pPr>
      <w:r w:rsidRPr="00EF29A0">
        <w:rPr>
          <w:bCs/>
          <w:i/>
          <w:strike w:val="0"/>
        </w:rPr>
        <w:t>See the comment on section 9767.1(a</w:t>
      </w:r>
      <w:proofErr w:type="gramStart"/>
      <w:r w:rsidRPr="00EF29A0">
        <w:rPr>
          <w:bCs/>
          <w:i/>
          <w:strike w:val="0"/>
        </w:rPr>
        <w:t>)(</w:t>
      </w:r>
      <w:proofErr w:type="gramEnd"/>
      <w:r w:rsidRPr="00EF29A0">
        <w:rPr>
          <w:bCs/>
          <w:i/>
          <w:strike w:val="0"/>
        </w:rPr>
        <w:t>2</w:t>
      </w:r>
      <w:r w:rsidR="00F555C3">
        <w:rPr>
          <w:bCs/>
          <w:i/>
          <w:strike w:val="0"/>
        </w:rPr>
        <w:t>5</w:t>
      </w:r>
      <w:r w:rsidR="005D6050">
        <w:rPr>
          <w:bCs/>
          <w:i/>
          <w:strike w:val="0"/>
        </w:rPr>
        <w:t>)</w:t>
      </w:r>
      <w:r w:rsidR="004E6C30">
        <w:rPr>
          <w:bCs/>
          <w:i/>
          <w:strike w:val="0"/>
        </w:rPr>
        <w:t>(A)</w:t>
      </w:r>
      <w:r w:rsidR="005D6050">
        <w:rPr>
          <w:bCs/>
          <w:i/>
          <w:strike w:val="0"/>
        </w:rPr>
        <w:t xml:space="preserve"> </w:t>
      </w:r>
      <w:r w:rsidRPr="00EF29A0">
        <w:rPr>
          <w:bCs/>
          <w:i/>
          <w:strike w:val="0"/>
        </w:rPr>
        <w:t xml:space="preserve">regarding physician specialty. </w:t>
      </w:r>
    </w:p>
    <w:p w:rsidR="00524DBD" w:rsidRDefault="003E6C4C" w:rsidP="001238B7">
      <w:pPr>
        <w:overflowPunct w:val="0"/>
        <w:adjustRightInd w:val="0"/>
        <w:spacing w:before="240"/>
        <w:ind w:left="360"/>
        <w:textAlignment w:val="baseline"/>
        <w:rPr>
          <w:i/>
          <w:strike w:val="0"/>
        </w:rPr>
      </w:pPr>
      <w:r>
        <w:rPr>
          <w:i/>
          <w:strike w:val="0"/>
        </w:rPr>
        <w:t xml:space="preserve">The Institute recommends moving the reference to </w:t>
      </w:r>
      <w:r w:rsidRPr="00DE19F6">
        <w:rPr>
          <w:i/>
          <w:strike w:val="0"/>
        </w:rPr>
        <w:t>providers of occupational health services</w:t>
      </w:r>
      <w:r>
        <w:rPr>
          <w:i/>
          <w:strike w:val="0"/>
        </w:rPr>
        <w:t xml:space="preserve"> </w:t>
      </w:r>
      <w:r w:rsidR="00F555C3">
        <w:rPr>
          <w:i/>
          <w:strike w:val="0"/>
        </w:rPr>
        <w:t>to this sub</w:t>
      </w:r>
      <w:r w:rsidR="009F56E3">
        <w:rPr>
          <w:i/>
          <w:strike w:val="0"/>
        </w:rPr>
        <w:t>division</w:t>
      </w:r>
      <w:r w:rsidR="00F555C3">
        <w:rPr>
          <w:i/>
          <w:strike w:val="0"/>
        </w:rPr>
        <w:t xml:space="preserve"> (a)</w:t>
      </w:r>
      <w:r>
        <w:rPr>
          <w:i/>
          <w:strike w:val="0"/>
        </w:rPr>
        <w:t xml:space="preserve"> from </w:t>
      </w:r>
      <w:r w:rsidR="009F56E3">
        <w:rPr>
          <w:i/>
          <w:strike w:val="0"/>
        </w:rPr>
        <w:t xml:space="preserve">subdivision </w:t>
      </w:r>
      <w:r>
        <w:rPr>
          <w:i/>
          <w:strike w:val="0"/>
        </w:rPr>
        <w:t>(c) since</w:t>
      </w:r>
      <w:r w:rsidRPr="00DE19F6">
        <w:rPr>
          <w:i/>
          <w:strike w:val="0"/>
        </w:rPr>
        <w:t xml:space="preserve"> </w:t>
      </w:r>
      <w:r>
        <w:rPr>
          <w:i/>
          <w:strike w:val="0"/>
        </w:rPr>
        <w:t>the specific access standards are required only for the physician types described in Labor Code section 3902.3.</w:t>
      </w:r>
    </w:p>
    <w:p w:rsidR="0012796D" w:rsidRPr="0012796D" w:rsidRDefault="0012796D" w:rsidP="001238B7">
      <w:pPr>
        <w:overflowPunct w:val="0"/>
        <w:adjustRightInd w:val="0"/>
        <w:ind w:left="360"/>
        <w:textAlignment w:val="baseline"/>
        <w:rPr>
          <w:i/>
          <w:strike w:val="0"/>
        </w:rPr>
      </w:pPr>
    </w:p>
    <w:p w:rsidR="008C4F68" w:rsidRDefault="00FA53AA" w:rsidP="001238B7">
      <w:pPr>
        <w:overflowPunct w:val="0"/>
        <w:adjustRightInd w:val="0"/>
        <w:ind w:left="360" w:right="-270"/>
        <w:textAlignment w:val="baseline"/>
        <w:rPr>
          <w:i/>
          <w:strike w:val="0"/>
        </w:rPr>
      </w:pPr>
      <w:r>
        <w:rPr>
          <w:i/>
          <w:strike w:val="0"/>
        </w:rPr>
        <w:t xml:space="preserve">Labor Code section 4616(a) requires an adequate number and type of physician to treat common injuries.  </w:t>
      </w:r>
      <w:r w:rsidR="008C4F68" w:rsidRPr="00DF668D">
        <w:rPr>
          <w:i/>
          <w:strike w:val="0"/>
        </w:rPr>
        <w:t>The most common California workers’ compensation injuries</w:t>
      </w:r>
      <w:r w:rsidR="008C4F68">
        <w:rPr>
          <w:i/>
          <w:strike w:val="0"/>
        </w:rPr>
        <w:t xml:space="preserve"> in 2010, 2011 and 2012 identified in CWCI’s ICIS database are listed in Table A in </w:t>
      </w:r>
      <w:r w:rsidR="006F14FA">
        <w:rPr>
          <w:i/>
          <w:strike w:val="0"/>
        </w:rPr>
        <w:t xml:space="preserve">frequency </w:t>
      </w:r>
      <w:r w:rsidR="008C4F68">
        <w:rPr>
          <w:i/>
          <w:strike w:val="0"/>
        </w:rPr>
        <w:t xml:space="preserve">order. </w:t>
      </w:r>
    </w:p>
    <w:p w:rsidR="008C4F68" w:rsidRDefault="008C4F68" w:rsidP="00E63BAE">
      <w:pPr>
        <w:overflowPunct w:val="0"/>
        <w:adjustRightInd w:val="0"/>
        <w:ind w:left="720"/>
        <w:textAlignment w:val="baseline"/>
        <w:rPr>
          <w:i/>
          <w:strike w:val="0"/>
          <w:sz w:val="14"/>
        </w:rPr>
      </w:pPr>
    </w:p>
    <w:p w:rsidR="00440C24" w:rsidRDefault="00440C24" w:rsidP="00E63BAE">
      <w:pPr>
        <w:overflowPunct w:val="0"/>
        <w:adjustRightInd w:val="0"/>
        <w:ind w:left="720"/>
        <w:textAlignment w:val="baseline"/>
        <w:rPr>
          <w:i/>
          <w:strike w:val="0"/>
          <w:sz w:val="14"/>
        </w:rPr>
      </w:pPr>
    </w:p>
    <w:p w:rsidR="00440C24" w:rsidRDefault="00440C24" w:rsidP="00E63BAE">
      <w:pPr>
        <w:overflowPunct w:val="0"/>
        <w:adjustRightInd w:val="0"/>
        <w:ind w:left="720"/>
        <w:textAlignment w:val="baseline"/>
        <w:rPr>
          <w:i/>
          <w:strike w:val="0"/>
          <w:sz w:val="14"/>
        </w:rPr>
      </w:pPr>
    </w:p>
    <w:p w:rsidR="00440C24" w:rsidRPr="0069504C" w:rsidRDefault="00440C24" w:rsidP="00E63BAE">
      <w:pPr>
        <w:overflowPunct w:val="0"/>
        <w:adjustRightInd w:val="0"/>
        <w:ind w:left="720"/>
        <w:textAlignment w:val="baseline"/>
        <w:rPr>
          <w:i/>
          <w:strike w:val="0"/>
          <w:sz w:val="14"/>
        </w:rPr>
      </w:pPr>
    </w:p>
    <w:p w:rsidR="008C4F68" w:rsidRPr="00CB31CC" w:rsidRDefault="008C4F68" w:rsidP="00E63BAE">
      <w:pPr>
        <w:overflowPunct w:val="0"/>
        <w:adjustRightInd w:val="0"/>
        <w:ind w:left="720"/>
        <w:textAlignment w:val="baseline"/>
        <w:rPr>
          <w:b/>
          <w:strike w:val="0"/>
        </w:rPr>
      </w:pPr>
      <w:r w:rsidRPr="00CB31CC">
        <w:rPr>
          <w:b/>
          <w:strike w:val="0"/>
        </w:rPr>
        <w:lastRenderedPageBreak/>
        <w:t xml:space="preserve">Table A – Common </w:t>
      </w:r>
      <w:r>
        <w:rPr>
          <w:b/>
          <w:strike w:val="0"/>
        </w:rPr>
        <w:t xml:space="preserve">California </w:t>
      </w:r>
      <w:r w:rsidRPr="00CB31CC">
        <w:rPr>
          <w:b/>
          <w:strike w:val="0"/>
        </w:rPr>
        <w:t>Workers’ Compensation Injuries by Frequency</w:t>
      </w:r>
    </w:p>
    <w:tbl>
      <w:tblPr>
        <w:tblStyle w:val="TableGrid"/>
        <w:tblW w:w="0" w:type="auto"/>
        <w:tblInd w:w="468" w:type="dxa"/>
        <w:tblLook w:val="04A0" w:firstRow="1" w:lastRow="0" w:firstColumn="1" w:lastColumn="0" w:noHBand="0" w:noVBand="1"/>
      </w:tblPr>
      <w:tblGrid>
        <w:gridCol w:w="5330"/>
        <w:gridCol w:w="836"/>
        <w:gridCol w:w="836"/>
        <w:gridCol w:w="836"/>
        <w:gridCol w:w="1270"/>
      </w:tblGrid>
      <w:tr w:rsidR="008C4F68" w:rsidRPr="00CB31CC" w:rsidTr="0098292B">
        <w:tc>
          <w:tcPr>
            <w:tcW w:w="5330" w:type="dxa"/>
          </w:tcPr>
          <w:p w:rsidR="008C4F68" w:rsidRPr="00CB31CC" w:rsidRDefault="008C4F68" w:rsidP="009B2602">
            <w:pPr>
              <w:overflowPunct w:val="0"/>
              <w:adjustRightInd w:val="0"/>
              <w:jc w:val="center"/>
              <w:textAlignment w:val="baseline"/>
              <w:rPr>
                <w:b/>
                <w:strike w:val="0"/>
              </w:rPr>
            </w:pPr>
            <w:r w:rsidRPr="00CB31CC">
              <w:rPr>
                <w:b/>
                <w:strike w:val="0"/>
              </w:rPr>
              <w:t>Common WC injuries</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2010</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2011</w:t>
            </w:r>
          </w:p>
        </w:tc>
        <w:tc>
          <w:tcPr>
            <w:tcW w:w="836" w:type="dxa"/>
          </w:tcPr>
          <w:p w:rsidR="008C4F68" w:rsidRPr="00CB31CC" w:rsidRDefault="008C4F68" w:rsidP="00E63BAE">
            <w:pPr>
              <w:overflowPunct w:val="0"/>
              <w:adjustRightInd w:val="0"/>
              <w:textAlignment w:val="baseline"/>
              <w:rPr>
                <w:b/>
                <w:strike w:val="0"/>
              </w:rPr>
            </w:pPr>
            <w:r w:rsidRPr="00CB31CC">
              <w:rPr>
                <w:b/>
                <w:strike w:val="0"/>
              </w:rPr>
              <w:t>2012</w:t>
            </w:r>
          </w:p>
        </w:tc>
        <w:tc>
          <w:tcPr>
            <w:tcW w:w="1270" w:type="dxa"/>
          </w:tcPr>
          <w:p w:rsidR="008C4F68" w:rsidRPr="00CB31CC" w:rsidRDefault="008C4F68" w:rsidP="00E63BAE">
            <w:pPr>
              <w:overflowPunct w:val="0"/>
              <w:adjustRightInd w:val="0"/>
              <w:textAlignment w:val="baseline"/>
              <w:rPr>
                <w:b/>
                <w:strike w:val="0"/>
              </w:rPr>
            </w:pPr>
            <w:r w:rsidRPr="00CB31CC">
              <w:rPr>
                <w:b/>
                <w:strike w:val="0"/>
              </w:rPr>
              <w:t>2010-2012</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Minor wounds &amp; injuries</w:t>
            </w:r>
          </w:p>
        </w:tc>
        <w:tc>
          <w:tcPr>
            <w:tcW w:w="836" w:type="dxa"/>
          </w:tcPr>
          <w:p w:rsidR="008C4F68" w:rsidRPr="00DB56FD" w:rsidRDefault="008C4F68" w:rsidP="009B2602">
            <w:pPr>
              <w:overflowPunct w:val="0"/>
              <w:adjustRightInd w:val="0"/>
              <w:jc w:val="center"/>
              <w:textAlignment w:val="baseline"/>
              <w:rPr>
                <w:strike w:val="0"/>
              </w:rPr>
            </w:pPr>
            <w:r>
              <w:rPr>
                <w:strike w:val="0"/>
              </w:rPr>
              <w:t>21.1%</w:t>
            </w:r>
          </w:p>
        </w:tc>
        <w:tc>
          <w:tcPr>
            <w:tcW w:w="836" w:type="dxa"/>
          </w:tcPr>
          <w:p w:rsidR="008C4F68" w:rsidRPr="00DB56FD" w:rsidRDefault="008C4F68" w:rsidP="009B2602">
            <w:pPr>
              <w:overflowPunct w:val="0"/>
              <w:adjustRightInd w:val="0"/>
              <w:jc w:val="center"/>
              <w:textAlignment w:val="baseline"/>
              <w:rPr>
                <w:strike w:val="0"/>
              </w:rPr>
            </w:pPr>
            <w:r>
              <w:rPr>
                <w:strike w:val="0"/>
              </w:rPr>
              <w:t>21.7%</w:t>
            </w:r>
          </w:p>
        </w:tc>
        <w:tc>
          <w:tcPr>
            <w:tcW w:w="836" w:type="dxa"/>
          </w:tcPr>
          <w:p w:rsidR="008C4F68" w:rsidRPr="00DB56FD" w:rsidRDefault="008C4F68" w:rsidP="009B2602">
            <w:pPr>
              <w:overflowPunct w:val="0"/>
              <w:adjustRightInd w:val="0"/>
              <w:jc w:val="center"/>
              <w:textAlignment w:val="baseline"/>
              <w:rPr>
                <w:strike w:val="0"/>
              </w:rPr>
            </w:pPr>
            <w:r>
              <w:rPr>
                <w:strike w:val="0"/>
              </w:rPr>
              <w:t>21.6%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21.4%</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Medical back problems w/o spinal cord involvement</w:t>
            </w:r>
          </w:p>
        </w:tc>
        <w:tc>
          <w:tcPr>
            <w:tcW w:w="836" w:type="dxa"/>
          </w:tcPr>
          <w:p w:rsidR="008C4F68" w:rsidRPr="00DB56FD" w:rsidRDefault="008C4F68" w:rsidP="009B2602">
            <w:pPr>
              <w:overflowPunct w:val="0"/>
              <w:adjustRightInd w:val="0"/>
              <w:jc w:val="center"/>
              <w:textAlignment w:val="baseline"/>
              <w:rPr>
                <w:strike w:val="0"/>
              </w:rPr>
            </w:pPr>
            <w:r>
              <w:rPr>
                <w:strike w:val="0"/>
              </w:rPr>
              <w:t>19.0%</w:t>
            </w:r>
          </w:p>
        </w:tc>
        <w:tc>
          <w:tcPr>
            <w:tcW w:w="836" w:type="dxa"/>
          </w:tcPr>
          <w:p w:rsidR="008C4F68" w:rsidRPr="00DB56FD" w:rsidRDefault="008C4F68" w:rsidP="009B2602">
            <w:pPr>
              <w:overflowPunct w:val="0"/>
              <w:adjustRightInd w:val="0"/>
              <w:jc w:val="center"/>
              <w:textAlignment w:val="baseline"/>
              <w:rPr>
                <w:strike w:val="0"/>
              </w:rPr>
            </w:pPr>
            <w:r>
              <w:rPr>
                <w:strike w:val="0"/>
              </w:rPr>
              <w:t>18.6%</w:t>
            </w:r>
          </w:p>
        </w:tc>
        <w:tc>
          <w:tcPr>
            <w:tcW w:w="836" w:type="dxa"/>
          </w:tcPr>
          <w:p w:rsidR="008C4F68" w:rsidRPr="00DB56FD" w:rsidRDefault="008C4F68" w:rsidP="009B2602">
            <w:pPr>
              <w:overflowPunct w:val="0"/>
              <w:adjustRightInd w:val="0"/>
              <w:jc w:val="center"/>
              <w:textAlignment w:val="baseline"/>
              <w:rPr>
                <w:strike w:val="0"/>
              </w:rPr>
            </w:pPr>
            <w:r>
              <w:rPr>
                <w:strike w:val="0"/>
              </w:rPr>
              <w:t>18.5%</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18.7%</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Sprain of shoulder, arm, knee, lower leg</w:t>
            </w:r>
          </w:p>
        </w:tc>
        <w:tc>
          <w:tcPr>
            <w:tcW w:w="836" w:type="dxa"/>
          </w:tcPr>
          <w:p w:rsidR="008C4F68" w:rsidRPr="00DB56FD" w:rsidRDefault="008C4F68" w:rsidP="009B2602">
            <w:pPr>
              <w:overflowPunct w:val="0"/>
              <w:adjustRightInd w:val="0"/>
              <w:jc w:val="center"/>
              <w:textAlignment w:val="baseline"/>
              <w:rPr>
                <w:strike w:val="0"/>
              </w:rPr>
            </w:pPr>
            <w:r>
              <w:rPr>
                <w:strike w:val="0"/>
              </w:rPr>
              <w:t>14.4%</w:t>
            </w:r>
          </w:p>
        </w:tc>
        <w:tc>
          <w:tcPr>
            <w:tcW w:w="836" w:type="dxa"/>
          </w:tcPr>
          <w:p w:rsidR="008C4F68" w:rsidRPr="00DB56FD" w:rsidRDefault="008C4F68" w:rsidP="009B2602">
            <w:pPr>
              <w:overflowPunct w:val="0"/>
              <w:adjustRightInd w:val="0"/>
              <w:jc w:val="center"/>
              <w:textAlignment w:val="baseline"/>
              <w:rPr>
                <w:strike w:val="0"/>
              </w:rPr>
            </w:pPr>
            <w:r>
              <w:rPr>
                <w:strike w:val="0"/>
              </w:rPr>
              <w:t>14.7%</w:t>
            </w:r>
          </w:p>
        </w:tc>
        <w:tc>
          <w:tcPr>
            <w:tcW w:w="836" w:type="dxa"/>
          </w:tcPr>
          <w:p w:rsidR="008C4F68" w:rsidRPr="00DB56FD" w:rsidRDefault="008C4F68" w:rsidP="009B2602">
            <w:pPr>
              <w:overflowPunct w:val="0"/>
              <w:adjustRightInd w:val="0"/>
              <w:jc w:val="center"/>
              <w:textAlignment w:val="baseline"/>
              <w:rPr>
                <w:strike w:val="0"/>
              </w:rPr>
            </w:pPr>
            <w:r>
              <w:rPr>
                <w:strike w:val="0"/>
              </w:rPr>
              <w:t>15.7%</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14.9%</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Ruptured tendon, tendonitis, myositis, bursitis</w:t>
            </w:r>
          </w:p>
        </w:tc>
        <w:tc>
          <w:tcPr>
            <w:tcW w:w="836" w:type="dxa"/>
          </w:tcPr>
          <w:p w:rsidR="008C4F68" w:rsidRPr="00DB56FD" w:rsidRDefault="008C4F68" w:rsidP="009B2602">
            <w:pPr>
              <w:overflowPunct w:val="0"/>
              <w:adjustRightInd w:val="0"/>
              <w:jc w:val="center"/>
              <w:textAlignment w:val="baseline"/>
              <w:rPr>
                <w:strike w:val="0"/>
              </w:rPr>
            </w:pPr>
            <w:r>
              <w:rPr>
                <w:strike w:val="0"/>
              </w:rPr>
              <w:t>6.0%</w:t>
            </w:r>
          </w:p>
        </w:tc>
        <w:tc>
          <w:tcPr>
            <w:tcW w:w="836" w:type="dxa"/>
          </w:tcPr>
          <w:p w:rsidR="008C4F68" w:rsidRPr="00DB56FD" w:rsidRDefault="008C4F68" w:rsidP="009B2602">
            <w:pPr>
              <w:overflowPunct w:val="0"/>
              <w:adjustRightInd w:val="0"/>
              <w:jc w:val="center"/>
              <w:textAlignment w:val="baseline"/>
              <w:rPr>
                <w:strike w:val="0"/>
              </w:rPr>
            </w:pPr>
            <w:r>
              <w:rPr>
                <w:strike w:val="0"/>
              </w:rPr>
              <w:t>6.0%</w:t>
            </w:r>
          </w:p>
        </w:tc>
        <w:tc>
          <w:tcPr>
            <w:tcW w:w="836" w:type="dxa"/>
          </w:tcPr>
          <w:p w:rsidR="008C4F68" w:rsidRPr="00DB56FD" w:rsidRDefault="008C4F68" w:rsidP="009B2602">
            <w:pPr>
              <w:overflowPunct w:val="0"/>
              <w:adjustRightInd w:val="0"/>
              <w:jc w:val="center"/>
              <w:textAlignment w:val="baseline"/>
              <w:rPr>
                <w:strike w:val="0"/>
              </w:rPr>
            </w:pPr>
            <w:r>
              <w:rPr>
                <w:strike w:val="0"/>
              </w:rPr>
              <w:t>5.7%</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5.9%</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Joint pain</w:t>
            </w:r>
          </w:p>
        </w:tc>
        <w:tc>
          <w:tcPr>
            <w:tcW w:w="836" w:type="dxa"/>
          </w:tcPr>
          <w:p w:rsidR="008C4F68" w:rsidRPr="00DB56FD" w:rsidRDefault="008C4F68" w:rsidP="009B2602">
            <w:pPr>
              <w:overflowPunct w:val="0"/>
              <w:adjustRightInd w:val="0"/>
              <w:jc w:val="center"/>
              <w:textAlignment w:val="baseline"/>
              <w:rPr>
                <w:strike w:val="0"/>
              </w:rPr>
            </w:pPr>
            <w:r>
              <w:rPr>
                <w:strike w:val="0"/>
              </w:rPr>
              <w:t>4.5%</w:t>
            </w:r>
          </w:p>
        </w:tc>
        <w:tc>
          <w:tcPr>
            <w:tcW w:w="836" w:type="dxa"/>
          </w:tcPr>
          <w:p w:rsidR="008C4F68" w:rsidRPr="00DB56FD" w:rsidRDefault="008C4F68" w:rsidP="009B2602">
            <w:pPr>
              <w:overflowPunct w:val="0"/>
              <w:adjustRightInd w:val="0"/>
              <w:jc w:val="center"/>
              <w:textAlignment w:val="baseline"/>
              <w:rPr>
                <w:strike w:val="0"/>
              </w:rPr>
            </w:pPr>
            <w:r>
              <w:rPr>
                <w:strike w:val="0"/>
              </w:rPr>
              <w:t>4.7%</w:t>
            </w:r>
          </w:p>
        </w:tc>
        <w:tc>
          <w:tcPr>
            <w:tcW w:w="836" w:type="dxa"/>
          </w:tcPr>
          <w:p w:rsidR="008C4F68" w:rsidRPr="00DB56FD" w:rsidRDefault="008C4F68" w:rsidP="009B2602">
            <w:pPr>
              <w:overflowPunct w:val="0"/>
              <w:adjustRightInd w:val="0"/>
              <w:jc w:val="center"/>
              <w:textAlignment w:val="baseline"/>
              <w:rPr>
                <w:strike w:val="0"/>
              </w:rPr>
            </w:pPr>
            <w:r>
              <w:rPr>
                <w:strike w:val="0"/>
              </w:rPr>
              <w:t>4.6%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4.6%</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Wound or fracture of shoulder, arm, knee, lower leg</w:t>
            </w:r>
          </w:p>
        </w:tc>
        <w:tc>
          <w:tcPr>
            <w:tcW w:w="836" w:type="dxa"/>
          </w:tcPr>
          <w:p w:rsidR="008C4F68" w:rsidRPr="00DB56FD" w:rsidRDefault="008C4F68" w:rsidP="009B2602">
            <w:pPr>
              <w:overflowPunct w:val="0"/>
              <w:adjustRightInd w:val="0"/>
              <w:jc w:val="center"/>
              <w:textAlignment w:val="baseline"/>
              <w:rPr>
                <w:strike w:val="0"/>
              </w:rPr>
            </w:pPr>
            <w:r>
              <w:rPr>
                <w:strike w:val="0"/>
              </w:rPr>
              <w:t>3.1%</w:t>
            </w:r>
          </w:p>
        </w:tc>
        <w:tc>
          <w:tcPr>
            <w:tcW w:w="836" w:type="dxa"/>
          </w:tcPr>
          <w:p w:rsidR="008C4F68" w:rsidRPr="00DB56FD" w:rsidRDefault="008C4F68" w:rsidP="009B2602">
            <w:pPr>
              <w:overflowPunct w:val="0"/>
              <w:adjustRightInd w:val="0"/>
              <w:jc w:val="center"/>
              <w:textAlignment w:val="baseline"/>
              <w:rPr>
                <w:strike w:val="0"/>
              </w:rPr>
            </w:pPr>
            <w:r>
              <w:rPr>
                <w:strike w:val="0"/>
              </w:rPr>
              <w:t>3.2%</w:t>
            </w:r>
          </w:p>
        </w:tc>
        <w:tc>
          <w:tcPr>
            <w:tcW w:w="836" w:type="dxa"/>
          </w:tcPr>
          <w:p w:rsidR="008C4F68" w:rsidRPr="00DB56FD" w:rsidRDefault="008C4F68" w:rsidP="009B2602">
            <w:pPr>
              <w:overflowPunct w:val="0"/>
              <w:adjustRightInd w:val="0"/>
              <w:jc w:val="center"/>
              <w:textAlignment w:val="baseline"/>
              <w:rPr>
                <w:strike w:val="0"/>
              </w:rPr>
            </w:pPr>
            <w:r>
              <w:rPr>
                <w:strike w:val="0"/>
              </w:rPr>
              <w:t>3.2%</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3.2%</w:t>
            </w:r>
          </w:p>
        </w:tc>
      </w:tr>
      <w:tr w:rsidR="008C4F68" w:rsidRPr="00DB56FD" w:rsidTr="0098292B">
        <w:tc>
          <w:tcPr>
            <w:tcW w:w="5330" w:type="dxa"/>
          </w:tcPr>
          <w:p w:rsidR="008C4F68" w:rsidRPr="00DB56FD" w:rsidRDefault="008C4F68" w:rsidP="00E63BAE">
            <w:pPr>
              <w:overflowPunct w:val="0"/>
              <w:adjustRightInd w:val="0"/>
              <w:textAlignment w:val="baseline"/>
              <w:rPr>
                <w:strike w:val="0"/>
              </w:rPr>
            </w:pPr>
            <w:r>
              <w:rPr>
                <w:strike w:val="0"/>
              </w:rPr>
              <w:t>External eye disorders</w:t>
            </w:r>
          </w:p>
        </w:tc>
        <w:tc>
          <w:tcPr>
            <w:tcW w:w="836" w:type="dxa"/>
          </w:tcPr>
          <w:p w:rsidR="008C4F68" w:rsidRPr="00DB56FD" w:rsidRDefault="008C4F68" w:rsidP="009B2602">
            <w:pPr>
              <w:overflowPunct w:val="0"/>
              <w:adjustRightInd w:val="0"/>
              <w:jc w:val="center"/>
              <w:textAlignment w:val="baseline"/>
              <w:rPr>
                <w:strike w:val="0"/>
              </w:rPr>
            </w:pPr>
            <w:r>
              <w:rPr>
                <w:strike w:val="0"/>
              </w:rPr>
              <w:t>2.9%</w:t>
            </w:r>
          </w:p>
        </w:tc>
        <w:tc>
          <w:tcPr>
            <w:tcW w:w="836" w:type="dxa"/>
          </w:tcPr>
          <w:p w:rsidR="008C4F68" w:rsidRPr="00DB56FD" w:rsidRDefault="008C4F68" w:rsidP="009B2602">
            <w:pPr>
              <w:overflowPunct w:val="0"/>
              <w:adjustRightInd w:val="0"/>
              <w:jc w:val="center"/>
              <w:textAlignment w:val="baseline"/>
              <w:rPr>
                <w:strike w:val="0"/>
              </w:rPr>
            </w:pPr>
            <w:r>
              <w:rPr>
                <w:strike w:val="0"/>
              </w:rPr>
              <w:t>2.9%</w:t>
            </w:r>
          </w:p>
        </w:tc>
        <w:tc>
          <w:tcPr>
            <w:tcW w:w="836" w:type="dxa"/>
          </w:tcPr>
          <w:p w:rsidR="008C4F68" w:rsidRPr="00DB56FD" w:rsidRDefault="008C4F68" w:rsidP="009B2602">
            <w:pPr>
              <w:overflowPunct w:val="0"/>
              <w:adjustRightInd w:val="0"/>
              <w:jc w:val="center"/>
              <w:textAlignment w:val="baseline"/>
              <w:rPr>
                <w:strike w:val="0"/>
              </w:rPr>
            </w:pPr>
            <w:r>
              <w:rPr>
                <w:strike w:val="0"/>
              </w:rPr>
              <w:t>2.8%</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2.8%</w:t>
            </w:r>
          </w:p>
        </w:tc>
      </w:tr>
      <w:tr w:rsidR="008C4F68" w:rsidRPr="0039515B" w:rsidTr="0098292B">
        <w:tc>
          <w:tcPr>
            <w:tcW w:w="5330" w:type="dxa"/>
          </w:tcPr>
          <w:p w:rsidR="008C4F68" w:rsidRPr="0039515B" w:rsidRDefault="008C4F68" w:rsidP="00E63BAE">
            <w:pPr>
              <w:overflowPunct w:val="0"/>
              <w:adjustRightInd w:val="0"/>
              <w:textAlignment w:val="baseline"/>
              <w:rPr>
                <w:strike w:val="0"/>
              </w:rPr>
            </w:pPr>
            <w:r w:rsidRPr="0039515B">
              <w:rPr>
                <w:strike w:val="0"/>
              </w:rPr>
              <w:t>Trauma of fingers, toes</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2.4%</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2.3%</w:t>
            </w:r>
          </w:p>
        </w:tc>
        <w:tc>
          <w:tcPr>
            <w:tcW w:w="836" w:type="dxa"/>
          </w:tcPr>
          <w:p w:rsidR="008C4F68" w:rsidRPr="0039515B" w:rsidRDefault="008C4F68" w:rsidP="009B2602">
            <w:pPr>
              <w:overflowPunct w:val="0"/>
              <w:adjustRightInd w:val="0"/>
              <w:jc w:val="center"/>
              <w:textAlignment w:val="baseline"/>
              <w:rPr>
                <w:strike w:val="0"/>
              </w:rPr>
            </w:pPr>
            <w:r w:rsidRPr="0039515B">
              <w:rPr>
                <w:strike w:val="0"/>
              </w:rPr>
              <w:t>2.5%</w:t>
            </w:r>
          </w:p>
        </w:tc>
        <w:tc>
          <w:tcPr>
            <w:tcW w:w="1270" w:type="dxa"/>
          </w:tcPr>
          <w:p w:rsidR="008C4F68" w:rsidRPr="0039515B" w:rsidRDefault="008C4F68" w:rsidP="009B2602">
            <w:pPr>
              <w:overflowPunct w:val="0"/>
              <w:adjustRightInd w:val="0"/>
              <w:jc w:val="center"/>
              <w:textAlignment w:val="baseline"/>
              <w:rPr>
                <w:b/>
                <w:strike w:val="0"/>
              </w:rPr>
            </w:pPr>
            <w:r w:rsidRPr="0039515B">
              <w:rPr>
                <w:b/>
                <w:strike w:val="0"/>
              </w:rPr>
              <w:t>2.4%</w:t>
            </w:r>
          </w:p>
        </w:tc>
      </w:tr>
      <w:tr w:rsidR="008C4F68" w:rsidRPr="00DB56FD" w:rsidTr="0098292B">
        <w:tc>
          <w:tcPr>
            <w:tcW w:w="5330" w:type="dxa"/>
          </w:tcPr>
          <w:p w:rsidR="008C4F68" w:rsidRDefault="008C4F68" w:rsidP="00E63BAE">
            <w:pPr>
              <w:overflowPunct w:val="0"/>
              <w:adjustRightInd w:val="0"/>
              <w:textAlignment w:val="baseline"/>
              <w:rPr>
                <w:strike w:val="0"/>
              </w:rPr>
            </w:pPr>
            <w:r>
              <w:rPr>
                <w:strike w:val="0"/>
              </w:rPr>
              <w:t>Total</w:t>
            </w:r>
          </w:p>
        </w:tc>
        <w:tc>
          <w:tcPr>
            <w:tcW w:w="836" w:type="dxa"/>
          </w:tcPr>
          <w:p w:rsidR="008C4F68" w:rsidRDefault="008C4F68" w:rsidP="009B2602">
            <w:pPr>
              <w:overflowPunct w:val="0"/>
              <w:adjustRightInd w:val="0"/>
              <w:jc w:val="center"/>
              <w:textAlignment w:val="baseline"/>
              <w:rPr>
                <w:strike w:val="0"/>
              </w:rPr>
            </w:pPr>
            <w:r>
              <w:rPr>
                <w:strike w:val="0"/>
              </w:rPr>
              <w:t>73.4%</w:t>
            </w:r>
          </w:p>
        </w:tc>
        <w:tc>
          <w:tcPr>
            <w:tcW w:w="836" w:type="dxa"/>
          </w:tcPr>
          <w:p w:rsidR="008C4F68" w:rsidRPr="00DB56FD" w:rsidRDefault="008C4F68" w:rsidP="009B2602">
            <w:pPr>
              <w:overflowPunct w:val="0"/>
              <w:adjustRightInd w:val="0"/>
              <w:jc w:val="center"/>
              <w:textAlignment w:val="baseline"/>
              <w:rPr>
                <w:strike w:val="0"/>
              </w:rPr>
            </w:pPr>
            <w:r>
              <w:rPr>
                <w:strike w:val="0"/>
              </w:rPr>
              <w:t>74.1%</w:t>
            </w:r>
          </w:p>
        </w:tc>
        <w:tc>
          <w:tcPr>
            <w:tcW w:w="836" w:type="dxa"/>
          </w:tcPr>
          <w:p w:rsidR="008C4F68" w:rsidRPr="00DB56FD" w:rsidRDefault="008C4F68" w:rsidP="009B2602">
            <w:pPr>
              <w:overflowPunct w:val="0"/>
              <w:adjustRightInd w:val="0"/>
              <w:jc w:val="center"/>
              <w:textAlignment w:val="baseline"/>
              <w:rPr>
                <w:strike w:val="0"/>
              </w:rPr>
            </w:pPr>
            <w:r>
              <w:rPr>
                <w:strike w:val="0"/>
              </w:rPr>
              <w:t>74.6%</w:t>
            </w:r>
          </w:p>
        </w:tc>
        <w:tc>
          <w:tcPr>
            <w:tcW w:w="1270" w:type="dxa"/>
          </w:tcPr>
          <w:p w:rsidR="008C4F68" w:rsidRPr="00AF786E" w:rsidRDefault="008C4F68" w:rsidP="009B2602">
            <w:pPr>
              <w:overflowPunct w:val="0"/>
              <w:adjustRightInd w:val="0"/>
              <w:jc w:val="center"/>
              <w:textAlignment w:val="baseline"/>
              <w:rPr>
                <w:b/>
                <w:strike w:val="0"/>
              </w:rPr>
            </w:pPr>
            <w:r w:rsidRPr="00AF786E">
              <w:rPr>
                <w:b/>
                <w:strike w:val="0"/>
              </w:rPr>
              <w:t>73.9%</w:t>
            </w:r>
          </w:p>
        </w:tc>
      </w:tr>
    </w:tbl>
    <w:p w:rsidR="00FA53AA" w:rsidRPr="00FA53AA" w:rsidRDefault="007B676C" w:rsidP="00E63BAE">
      <w:pPr>
        <w:overflowPunct w:val="0"/>
        <w:adjustRightInd w:val="0"/>
        <w:spacing w:before="240"/>
        <w:ind w:left="720"/>
        <w:textAlignment w:val="baseline"/>
        <w:rPr>
          <w:i/>
          <w:strike w:val="0"/>
        </w:rPr>
      </w:pPr>
      <w:r>
        <w:rPr>
          <w:i/>
          <w:strike w:val="0"/>
        </w:rPr>
        <w:t xml:space="preserve">The list of common injures in </w:t>
      </w:r>
      <w:r w:rsidR="008C4F68">
        <w:rPr>
          <w:i/>
          <w:strike w:val="0"/>
        </w:rPr>
        <w:t xml:space="preserve">Table A </w:t>
      </w:r>
      <w:r w:rsidR="005B2240">
        <w:rPr>
          <w:i/>
          <w:strike w:val="0"/>
        </w:rPr>
        <w:t xml:space="preserve">is relevant for </w:t>
      </w:r>
      <w:r>
        <w:rPr>
          <w:i/>
          <w:strike w:val="0"/>
        </w:rPr>
        <w:t>most</w:t>
      </w:r>
      <w:r w:rsidR="005B2240">
        <w:rPr>
          <w:i/>
          <w:strike w:val="0"/>
        </w:rPr>
        <w:t xml:space="preserve"> MPNs</w:t>
      </w:r>
      <w:r w:rsidR="0098385B">
        <w:rPr>
          <w:i/>
          <w:strike w:val="0"/>
        </w:rPr>
        <w:t xml:space="preserve"> including</w:t>
      </w:r>
      <w:r w:rsidR="005B2240">
        <w:rPr>
          <w:i/>
          <w:strike w:val="0"/>
        </w:rPr>
        <w:t xml:space="preserve"> </w:t>
      </w:r>
      <w:r w:rsidR="0098385B">
        <w:rPr>
          <w:i/>
          <w:strike w:val="0"/>
        </w:rPr>
        <w:t xml:space="preserve">those </w:t>
      </w:r>
      <w:r w:rsidR="005B2240">
        <w:rPr>
          <w:i/>
          <w:strike w:val="0"/>
        </w:rPr>
        <w:t xml:space="preserve">used by </w:t>
      </w:r>
      <w:r w:rsidR="008C4F68">
        <w:rPr>
          <w:i/>
          <w:strike w:val="0"/>
        </w:rPr>
        <w:t>insurers that provide statewide homogenous coverage</w:t>
      </w:r>
      <w:r w:rsidR="005B2240">
        <w:rPr>
          <w:i/>
          <w:strike w:val="0"/>
        </w:rPr>
        <w:t xml:space="preserve">.  </w:t>
      </w:r>
      <w:r w:rsidR="00D03A73">
        <w:rPr>
          <w:i/>
          <w:strike w:val="0"/>
        </w:rPr>
        <w:t>These common injuries are treated by primary care physicians as defined in the Insurance commissioner regulations and as described in the reco</w:t>
      </w:r>
      <w:r w:rsidR="007F6864">
        <w:rPr>
          <w:i/>
          <w:strike w:val="0"/>
        </w:rPr>
        <w:t>mmended definition.  See comment on section 9767.1(a</w:t>
      </w:r>
      <w:proofErr w:type="gramStart"/>
      <w:r w:rsidR="007F6864">
        <w:rPr>
          <w:i/>
          <w:strike w:val="0"/>
        </w:rPr>
        <w:t>)(</w:t>
      </w:r>
      <w:proofErr w:type="gramEnd"/>
      <w:r w:rsidR="007F6864">
        <w:rPr>
          <w:i/>
          <w:strike w:val="0"/>
        </w:rPr>
        <w:t>37).</w:t>
      </w:r>
    </w:p>
    <w:p w:rsidR="001E1C1C" w:rsidRDefault="001E1C1C" w:rsidP="00E63BAE">
      <w:pPr>
        <w:overflowPunct w:val="0"/>
        <w:adjustRightInd w:val="0"/>
        <w:ind w:left="720"/>
        <w:textAlignment w:val="baseline"/>
        <w:rPr>
          <w:bCs/>
          <w:i/>
          <w:strike w:val="0"/>
        </w:rPr>
      </w:pPr>
    </w:p>
    <w:p w:rsidR="00C3605B" w:rsidRPr="00C3605B" w:rsidRDefault="00C3605B" w:rsidP="00E63BAE">
      <w:pPr>
        <w:overflowPunct w:val="0"/>
        <w:adjustRightInd w:val="0"/>
        <w:textAlignment w:val="baseline"/>
        <w:rPr>
          <w:strike w:val="0"/>
          <w:color w:val="000000"/>
        </w:rPr>
      </w:pPr>
      <w:r w:rsidRPr="00C3605B">
        <w:rPr>
          <w:strike w:val="0"/>
          <w:color w:val="000000"/>
        </w:rPr>
        <w:t>(</w:t>
      </w:r>
      <w:r w:rsidR="00473ACD">
        <w:rPr>
          <w:strike w:val="0"/>
          <w:color w:val="000000"/>
        </w:rPr>
        <w:t>a</w:t>
      </w:r>
      <w:r w:rsidRPr="00C3605B">
        <w:rPr>
          <w:strike w:val="0"/>
          <w:color w:val="000000"/>
        </w:rPr>
        <w:t>)</w:t>
      </w:r>
      <w:r w:rsidR="00473ACD">
        <w:rPr>
          <w:strike w:val="0"/>
          <w:color w:val="000000"/>
        </w:rPr>
        <w:t>(1)</w:t>
      </w:r>
      <w:r w:rsidRPr="00C3605B">
        <w:rPr>
          <w:strike w:val="0"/>
          <w:color w:val="000000"/>
        </w:rPr>
        <w:t xml:space="preserve"> A</w:t>
      </w:r>
      <w:r w:rsidR="00AB2207" w:rsidRPr="00473ACD">
        <w:rPr>
          <w:strike w:val="0"/>
          <w:color w:val="000000"/>
        </w:rPr>
        <w:t>n</w:t>
      </w:r>
      <w:r w:rsidRPr="00C3605B">
        <w:rPr>
          <w:strike w:val="0"/>
          <w:color w:val="000000"/>
        </w:rPr>
        <w:t xml:space="preserve"> MPN must have a</w:t>
      </w:r>
      <w:r w:rsidR="00473ACD" w:rsidRPr="00987AE6">
        <w:rPr>
          <w:color w:val="000000"/>
          <w:highlight w:val="yellow"/>
        </w:rPr>
        <w:t>t least three available</w:t>
      </w:r>
      <w:r w:rsidRPr="00987AE6">
        <w:rPr>
          <w:strike w:val="0"/>
          <w:color w:val="000000"/>
        </w:rPr>
        <w:t xml:space="preserve"> primary </w:t>
      </w:r>
      <w:r w:rsidRPr="00C3605B">
        <w:rPr>
          <w:color w:val="000000"/>
          <w:highlight w:val="yellow"/>
        </w:rPr>
        <w:t>treating</w:t>
      </w:r>
      <w:r w:rsidRPr="00987AE6">
        <w:rPr>
          <w:color w:val="000000"/>
          <w:highlight w:val="yellow"/>
        </w:rPr>
        <w:t xml:space="preserve"> </w:t>
      </w:r>
      <w:r w:rsidRPr="00C3605B">
        <w:rPr>
          <w:strike w:val="0"/>
          <w:color w:val="000000"/>
          <w:highlight w:val="yellow"/>
          <w:u w:val="single"/>
        </w:rPr>
        <w:t>care</w:t>
      </w:r>
      <w:r>
        <w:rPr>
          <w:strike w:val="0"/>
          <w:color w:val="000000"/>
          <w:u w:val="single"/>
        </w:rPr>
        <w:t xml:space="preserve"> </w:t>
      </w:r>
      <w:r w:rsidRPr="00C3605B">
        <w:rPr>
          <w:strike w:val="0"/>
          <w:color w:val="000000"/>
        </w:rPr>
        <w:t>physician</w:t>
      </w:r>
      <w:r w:rsidR="00987AE6" w:rsidRPr="00987AE6">
        <w:rPr>
          <w:color w:val="000000"/>
          <w:highlight w:val="yellow"/>
        </w:rPr>
        <w:t>s</w:t>
      </w:r>
      <w:r w:rsidRPr="00C3605B">
        <w:rPr>
          <w:strike w:val="0"/>
          <w:color w:val="000000"/>
        </w:rPr>
        <w:t xml:space="preserve"> </w:t>
      </w:r>
      <w:r w:rsidRPr="00C3605B">
        <w:rPr>
          <w:color w:val="000000"/>
          <w:highlight w:val="yellow"/>
        </w:rPr>
        <w:t>and a hospital for emergency health care services, or if separate from such hospital, a provider of all emergency health care services,</w:t>
      </w:r>
      <w:r w:rsidRPr="00C3605B">
        <w:rPr>
          <w:strike w:val="0"/>
          <w:color w:val="000000"/>
        </w:rPr>
        <w:t xml:space="preserve"> within 30 minutes or 15 miles of each covered employee's residence or workplace.</w:t>
      </w:r>
      <w:bookmarkStart w:id="2" w:name="I30911E72CF0111E2A3BEAE4168993EE1"/>
      <w:bookmarkStart w:id="3" w:name="I30911E73CF0111E2A3BEAE4168993EE1"/>
      <w:bookmarkEnd w:id="2"/>
      <w:bookmarkEnd w:id="3"/>
    </w:p>
    <w:p w:rsidR="00C3605B" w:rsidRDefault="00C3605B" w:rsidP="00E63BAE">
      <w:pPr>
        <w:overflowPunct w:val="0"/>
        <w:adjustRightInd w:val="0"/>
        <w:textAlignment w:val="baseline"/>
        <w:rPr>
          <w:strike w:val="0"/>
          <w:color w:val="000000"/>
        </w:rPr>
      </w:pPr>
    </w:p>
    <w:p w:rsidR="00C909D4" w:rsidRDefault="00C909D4" w:rsidP="00E63BAE">
      <w:pPr>
        <w:overflowPunct w:val="0"/>
        <w:adjustRightInd w:val="0"/>
        <w:ind w:left="720"/>
        <w:textAlignment w:val="baseline"/>
        <w:rPr>
          <w:i/>
          <w:strike w:val="0"/>
          <w:color w:val="000000"/>
        </w:rPr>
      </w:pPr>
      <w:r w:rsidRPr="00C909D4">
        <w:rPr>
          <w:i/>
          <w:strike w:val="0"/>
          <w:color w:val="000000"/>
        </w:rPr>
        <w:t xml:space="preserve">There is no </w:t>
      </w:r>
      <w:r>
        <w:rPr>
          <w:i/>
          <w:strike w:val="0"/>
          <w:color w:val="000000"/>
        </w:rPr>
        <w:t>statutory authority</w:t>
      </w:r>
      <w:r w:rsidR="00AE180F">
        <w:rPr>
          <w:i/>
          <w:strike w:val="0"/>
          <w:color w:val="000000"/>
        </w:rPr>
        <w:t xml:space="preserve"> for specific access standards for a hospital for emergency health care services or a provider of all emergency health care services.  </w:t>
      </w:r>
      <w:r w:rsidR="00E1041B">
        <w:rPr>
          <w:i/>
          <w:strike w:val="0"/>
          <w:color w:val="000000"/>
        </w:rPr>
        <w:t>In addition, w</w:t>
      </w:r>
      <w:r w:rsidR="00AE180F">
        <w:rPr>
          <w:i/>
          <w:strike w:val="0"/>
          <w:color w:val="000000"/>
        </w:rPr>
        <w:t>hile most, if not al</w:t>
      </w:r>
      <w:r w:rsidR="0037585E">
        <w:rPr>
          <w:i/>
          <w:strike w:val="0"/>
          <w:color w:val="000000"/>
        </w:rPr>
        <w:t>l</w:t>
      </w:r>
      <w:r w:rsidR="00AE180F">
        <w:rPr>
          <w:i/>
          <w:strike w:val="0"/>
          <w:color w:val="000000"/>
        </w:rPr>
        <w:t xml:space="preserve"> MPN</w:t>
      </w:r>
      <w:r w:rsidR="004B77DB">
        <w:rPr>
          <w:i/>
          <w:strike w:val="0"/>
          <w:color w:val="000000"/>
        </w:rPr>
        <w:t>s</w:t>
      </w:r>
      <w:r w:rsidR="00AE180F">
        <w:rPr>
          <w:i/>
          <w:strike w:val="0"/>
          <w:color w:val="000000"/>
        </w:rPr>
        <w:t xml:space="preserve"> include</w:t>
      </w:r>
      <w:r w:rsidR="0037585E">
        <w:rPr>
          <w:i/>
          <w:strike w:val="0"/>
          <w:color w:val="000000"/>
        </w:rPr>
        <w:t xml:space="preserve"> and will continue to include such facilities,</w:t>
      </w:r>
      <w:r w:rsidR="007F6864">
        <w:rPr>
          <w:i/>
          <w:strike w:val="0"/>
          <w:color w:val="000000"/>
        </w:rPr>
        <w:t xml:space="preserve"> </w:t>
      </w:r>
      <w:r w:rsidR="0037585E">
        <w:rPr>
          <w:i/>
          <w:strike w:val="0"/>
          <w:color w:val="000000"/>
        </w:rPr>
        <w:t xml:space="preserve">there is no necessity for requiring them </w:t>
      </w:r>
      <w:r w:rsidR="00FE1B86">
        <w:rPr>
          <w:i/>
          <w:strike w:val="0"/>
          <w:color w:val="000000"/>
        </w:rPr>
        <w:t xml:space="preserve">to be included </w:t>
      </w:r>
      <w:r w:rsidR="0037585E">
        <w:rPr>
          <w:i/>
          <w:strike w:val="0"/>
          <w:color w:val="000000"/>
        </w:rPr>
        <w:t>in the access standards</w:t>
      </w:r>
      <w:r w:rsidR="00E1041B">
        <w:rPr>
          <w:i/>
          <w:strike w:val="0"/>
          <w:color w:val="000000"/>
        </w:rPr>
        <w:t xml:space="preserve"> because s</w:t>
      </w:r>
      <w:r w:rsidR="007C1067">
        <w:rPr>
          <w:i/>
          <w:strike w:val="0"/>
          <w:color w:val="000000"/>
        </w:rPr>
        <w:t>ubsection (j)</w:t>
      </w:r>
      <w:r w:rsidR="009D4A3F">
        <w:rPr>
          <w:i/>
          <w:strike w:val="0"/>
          <w:color w:val="000000"/>
        </w:rPr>
        <w:t xml:space="preserve"> requires </w:t>
      </w:r>
      <w:r w:rsidR="009D4A3F" w:rsidRPr="009D4A3F">
        <w:rPr>
          <w:b/>
          <w:i/>
          <w:strike w:val="0"/>
          <w:color w:val="000000"/>
        </w:rPr>
        <w:t xml:space="preserve">“a written policy to allow an injured employee to receive emergency health care services from a medical service or hospital provider who is not a member of the </w:t>
      </w:r>
      <w:r w:rsidR="00FE1B86">
        <w:rPr>
          <w:b/>
          <w:i/>
          <w:strike w:val="0"/>
          <w:color w:val="000000"/>
        </w:rPr>
        <w:t>MP</w:t>
      </w:r>
      <w:r w:rsidR="009D4A3F" w:rsidRPr="009D4A3F">
        <w:rPr>
          <w:b/>
          <w:i/>
          <w:strike w:val="0"/>
          <w:color w:val="000000"/>
        </w:rPr>
        <w:t>N.”</w:t>
      </w:r>
      <w:r w:rsidR="007C1067">
        <w:rPr>
          <w:i/>
          <w:strike w:val="0"/>
          <w:color w:val="000000"/>
        </w:rPr>
        <w:t xml:space="preserve"> </w:t>
      </w:r>
    </w:p>
    <w:p w:rsidR="00970A84" w:rsidRPr="00FA53AA" w:rsidRDefault="00970A84" w:rsidP="00970A84">
      <w:pPr>
        <w:overflowPunct w:val="0"/>
        <w:adjustRightInd w:val="0"/>
        <w:spacing w:before="240"/>
        <w:ind w:left="720"/>
        <w:textAlignment w:val="baseline"/>
        <w:rPr>
          <w:i/>
          <w:strike w:val="0"/>
        </w:rPr>
      </w:pPr>
      <w:r>
        <w:rPr>
          <w:i/>
          <w:strike w:val="0"/>
        </w:rPr>
        <w:t xml:space="preserve">Common workers’ compensation injuries are treated by primary care physicians as defined in the Insurance commissioner regulations and as described in the recommended definition.  See the comments </w:t>
      </w:r>
      <w:r w:rsidR="00C413AB">
        <w:rPr>
          <w:i/>
          <w:strike w:val="0"/>
        </w:rPr>
        <w:t xml:space="preserve">in (a) </w:t>
      </w:r>
      <w:r>
        <w:rPr>
          <w:i/>
          <w:strike w:val="0"/>
        </w:rPr>
        <w:t>on common inj</w:t>
      </w:r>
      <w:r w:rsidR="00C413AB">
        <w:rPr>
          <w:i/>
          <w:strike w:val="0"/>
        </w:rPr>
        <w:t>ur</w:t>
      </w:r>
      <w:r>
        <w:rPr>
          <w:i/>
          <w:strike w:val="0"/>
        </w:rPr>
        <w:t xml:space="preserve">ies and Table </w:t>
      </w:r>
      <w:proofErr w:type="gramStart"/>
      <w:r>
        <w:rPr>
          <w:i/>
          <w:strike w:val="0"/>
        </w:rPr>
        <w:t>A</w:t>
      </w:r>
      <w:proofErr w:type="gramEnd"/>
      <w:r w:rsidR="00C413AB">
        <w:rPr>
          <w:i/>
          <w:strike w:val="0"/>
        </w:rPr>
        <w:t xml:space="preserve"> above.  </w:t>
      </w:r>
      <w:r>
        <w:rPr>
          <w:i/>
          <w:strike w:val="0"/>
        </w:rPr>
        <w:t xml:space="preserve">See </w:t>
      </w:r>
      <w:r w:rsidR="00C413AB">
        <w:rPr>
          <w:i/>
          <w:strike w:val="0"/>
        </w:rPr>
        <w:t xml:space="preserve">also </w:t>
      </w:r>
      <w:r>
        <w:rPr>
          <w:i/>
          <w:strike w:val="0"/>
        </w:rPr>
        <w:t>comment on section 9767.1(a</w:t>
      </w:r>
      <w:proofErr w:type="gramStart"/>
      <w:r>
        <w:rPr>
          <w:i/>
          <w:strike w:val="0"/>
        </w:rPr>
        <w:t>)(</w:t>
      </w:r>
      <w:proofErr w:type="gramEnd"/>
      <w:r>
        <w:rPr>
          <w:i/>
          <w:strike w:val="0"/>
        </w:rPr>
        <w:t>37).</w:t>
      </w:r>
    </w:p>
    <w:p w:rsidR="00970A84" w:rsidRDefault="00970A84" w:rsidP="00E63BAE">
      <w:pPr>
        <w:overflowPunct w:val="0"/>
        <w:adjustRightInd w:val="0"/>
        <w:ind w:left="720"/>
        <w:textAlignment w:val="baseline"/>
        <w:rPr>
          <w:i/>
          <w:strike w:val="0"/>
          <w:color w:val="000000"/>
        </w:rPr>
      </w:pPr>
    </w:p>
    <w:p w:rsidR="00C909D4" w:rsidRDefault="00C909D4" w:rsidP="00E63BAE">
      <w:pPr>
        <w:overflowPunct w:val="0"/>
        <w:adjustRightInd w:val="0"/>
        <w:textAlignment w:val="baseline"/>
        <w:rPr>
          <w:strike w:val="0"/>
          <w:color w:val="000000"/>
        </w:rPr>
      </w:pPr>
    </w:p>
    <w:p w:rsidR="00C3605B" w:rsidRDefault="00AB2207" w:rsidP="00E63BAE">
      <w:pPr>
        <w:overflowPunct w:val="0"/>
        <w:adjustRightInd w:val="0"/>
        <w:textAlignment w:val="baseline"/>
        <w:rPr>
          <w:strike w:val="0"/>
          <w:color w:val="000000"/>
        </w:rPr>
      </w:pPr>
      <w:r w:rsidRPr="00C3605B">
        <w:rPr>
          <w:strike w:val="0"/>
          <w:color w:val="000000"/>
        </w:rPr>
        <w:t xml:space="preserve"> </w:t>
      </w:r>
      <w:r w:rsidR="00C3605B" w:rsidRPr="00C3605B">
        <w:rPr>
          <w:strike w:val="0"/>
          <w:color w:val="000000"/>
        </w:rPr>
        <w:t>(</w:t>
      </w:r>
      <w:r w:rsidR="006402ED">
        <w:rPr>
          <w:strike w:val="0"/>
          <w:color w:val="000000"/>
        </w:rPr>
        <w:t>a</w:t>
      </w:r>
      <w:r w:rsidR="00C3605B" w:rsidRPr="00C3605B">
        <w:rPr>
          <w:strike w:val="0"/>
          <w:color w:val="000000"/>
        </w:rPr>
        <w:t>)</w:t>
      </w:r>
      <w:r w:rsidR="006402ED">
        <w:rPr>
          <w:strike w:val="0"/>
          <w:color w:val="000000"/>
        </w:rPr>
        <w:t>(2)</w:t>
      </w:r>
      <w:r w:rsidR="00C3605B" w:rsidRPr="00C3605B">
        <w:rPr>
          <w:strike w:val="0"/>
          <w:color w:val="000000"/>
        </w:rPr>
        <w:t xml:space="preserve"> A</w:t>
      </w:r>
      <w:r w:rsidR="00C413AB">
        <w:rPr>
          <w:strike w:val="0"/>
          <w:color w:val="000000"/>
        </w:rPr>
        <w:t>n</w:t>
      </w:r>
      <w:r w:rsidR="00C3605B" w:rsidRPr="00C3605B">
        <w:rPr>
          <w:strike w:val="0"/>
          <w:color w:val="000000"/>
        </w:rPr>
        <w:t xml:space="preserve"> MPN must have </w:t>
      </w:r>
      <w:r w:rsidR="004B7247">
        <w:rPr>
          <w:strike w:val="0"/>
          <w:color w:val="000000"/>
          <w:highlight w:val="yellow"/>
          <w:u w:val="single"/>
        </w:rPr>
        <w:t>the</w:t>
      </w:r>
      <w:r w:rsidR="004B7247" w:rsidRPr="00C909D4">
        <w:rPr>
          <w:strike w:val="0"/>
          <w:color w:val="000000"/>
          <w:highlight w:val="yellow"/>
          <w:u w:val="single"/>
        </w:rPr>
        <w:t xml:space="preserve"> types </w:t>
      </w:r>
      <w:r w:rsidRPr="00C909D4">
        <w:rPr>
          <w:strike w:val="0"/>
          <w:color w:val="000000"/>
          <w:highlight w:val="yellow"/>
          <w:u w:val="single"/>
        </w:rPr>
        <w:t>physician</w:t>
      </w:r>
      <w:r w:rsidR="006A7346">
        <w:rPr>
          <w:strike w:val="0"/>
          <w:color w:val="000000"/>
          <w:highlight w:val="yellow"/>
          <w:u w:val="single"/>
        </w:rPr>
        <w:t>s</w:t>
      </w:r>
      <w:r w:rsidRPr="00C909D4">
        <w:rPr>
          <w:strike w:val="0"/>
          <w:color w:val="000000"/>
          <w:highlight w:val="yellow"/>
          <w:u w:val="single"/>
        </w:rPr>
        <w:t xml:space="preserve"> described in </w:t>
      </w:r>
      <w:r w:rsidR="008126ED" w:rsidRPr="00C909D4">
        <w:rPr>
          <w:strike w:val="0"/>
          <w:color w:val="000000"/>
          <w:highlight w:val="yellow"/>
          <w:u w:val="single"/>
        </w:rPr>
        <w:t>Labor Code section 3209.3</w:t>
      </w:r>
      <w:r w:rsidR="009F0D27" w:rsidRPr="00C909D4">
        <w:rPr>
          <w:strike w:val="0"/>
          <w:color w:val="000000"/>
          <w:highlight w:val="yellow"/>
          <w:u w:val="single"/>
        </w:rPr>
        <w:t xml:space="preserve"> to </w:t>
      </w:r>
      <w:r w:rsidR="004B7247" w:rsidRPr="004B7247">
        <w:rPr>
          <w:color w:val="000000"/>
          <w:highlight w:val="yellow"/>
        </w:rPr>
        <w:t>who can</w:t>
      </w:r>
      <w:r w:rsidR="004B7247">
        <w:rPr>
          <w:color w:val="000000"/>
        </w:rPr>
        <w:t xml:space="preserve"> </w:t>
      </w:r>
      <w:r w:rsidR="009F0D27" w:rsidRPr="004B7247">
        <w:rPr>
          <w:strike w:val="0"/>
          <w:color w:val="000000"/>
        </w:rPr>
        <w:t>treat common injuries</w:t>
      </w:r>
      <w:r w:rsidR="006A7346" w:rsidRPr="004B7247">
        <w:rPr>
          <w:strike w:val="0"/>
          <w:color w:val="000000"/>
        </w:rPr>
        <w:t xml:space="preserve"> experienced by the covered injured employees</w:t>
      </w:r>
      <w:r w:rsidR="00C3605B" w:rsidRPr="00C3605B">
        <w:rPr>
          <w:strike w:val="0"/>
          <w:color w:val="000000"/>
        </w:rPr>
        <w:t xml:space="preserve"> within 60 minutes or 30 miles of a covered employee's residence or workplace.</w:t>
      </w:r>
      <w:bookmarkStart w:id="4" w:name="I30914580CF0111E2A3BEAE4168993EE1"/>
      <w:bookmarkStart w:id="5" w:name="I30914581CF0111E2A3BEAE4168993EE1"/>
      <w:bookmarkEnd w:id="4"/>
      <w:bookmarkEnd w:id="5"/>
    </w:p>
    <w:p w:rsidR="00DE19F6" w:rsidRDefault="00DE19F6" w:rsidP="00E63BAE">
      <w:pPr>
        <w:overflowPunct w:val="0"/>
        <w:adjustRightInd w:val="0"/>
        <w:spacing w:before="240"/>
        <w:ind w:left="720"/>
        <w:textAlignment w:val="baseline"/>
        <w:rPr>
          <w:i/>
          <w:strike w:val="0"/>
        </w:rPr>
      </w:pPr>
      <w:r w:rsidRPr="00DE19F6">
        <w:rPr>
          <w:i/>
          <w:strike w:val="0"/>
        </w:rPr>
        <w:t xml:space="preserve">Since </w:t>
      </w:r>
      <w:r>
        <w:rPr>
          <w:i/>
          <w:strike w:val="0"/>
        </w:rPr>
        <w:t xml:space="preserve">access standards are required only for the physician types described in Labor Code section 3902.3, the Institute recommends moving the reference to </w:t>
      </w:r>
      <w:r w:rsidRPr="00DE19F6">
        <w:rPr>
          <w:i/>
          <w:strike w:val="0"/>
        </w:rPr>
        <w:t>providers of occupational health services</w:t>
      </w:r>
      <w:r w:rsidR="003E6C4C">
        <w:rPr>
          <w:i/>
          <w:strike w:val="0"/>
        </w:rPr>
        <w:t xml:space="preserve"> to (a).</w:t>
      </w:r>
    </w:p>
    <w:p w:rsidR="00440C24" w:rsidRDefault="00440C24" w:rsidP="00B806EF">
      <w:pPr>
        <w:overflowPunct w:val="0"/>
        <w:adjustRightInd w:val="0"/>
        <w:spacing w:before="240"/>
        <w:ind w:left="720"/>
        <w:textAlignment w:val="baseline"/>
        <w:rPr>
          <w:bCs/>
          <w:i/>
          <w:strike w:val="0"/>
        </w:rPr>
      </w:pPr>
    </w:p>
    <w:p w:rsidR="00440C24" w:rsidRDefault="00440C24" w:rsidP="00B806EF">
      <w:pPr>
        <w:overflowPunct w:val="0"/>
        <w:adjustRightInd w:val="0"/>
        <w:spacing w:before="240"/>
        <w:ind w:left="720"/>
        <w:textAlignment w:val="baseline"/>
        <w:rPr>
          <w:bCs/>
          <w:i/>
          <w:strike w:val="0"/>
        </w:rPr>
      </w:pPr>
    </w:p>
    <w:p w:rsidR="00440C24" w:rsidRDefault="00440C24" w:rsidP="00B806EF">
      <w:pPr>
        <w:overflowPunct w:val="0"/>
        <w:adjustRightInd w:val="0"/>
        <w:spacing w:before="240"/>
        <w:ind w:left="720"/>
        <w:textAlignment w:val="baseline"/>
        <w:rPr>
          <w:bCs/>
          <w:i/>
          <w:strike w:val="0"/>
        </w:rPr>
      </w:pPr>
    </w:p>
    <w:p w:rsidR="00B806EF" w:rsidRPr="00B806EF" w:rsidRDefault="00B806EF" w:rsidP="00B806EF">
      <w:pPr>
        <w:overflowPunct w:val="0"/>
        <w:adjustRightInd w:val="0"/>
        <w:spacing w:before="240"/>
        <w:ind w:left="720"/>
        <w:textAlignment w:val="baseline"/>
        <w:rPr>
          <w:bCs/>
          <w:i/>
          <w:strike w:val="0"/>
        </w:rPr>
      </w:pPr>
      <w:r w:rsidRPr="00B806EF">
        <w:rPr>
          <w:bCs/>
          <w:i/>
          <w:strike w:val="0"/>
        </w:rPr>
        <w:lastRenderedPageBreak/>
        <w:t xml:space="preserve">See </w:t>
      </w:r>
      <w:r>
        <w:rPr>
          <w:bCs/>
          <w:i/>
          <w:strike w:val="0"/>
        </w:rPr>
        <w:t xml:space="preserve">in addition </w:t>
      </w:r>
      <w:r w:rsidRPr="00B806EF">
        <w:rPr>
          <w:bCs/>
          <w:i/>
          <w:strike w:val="0"/>
        </w:rPr>
        <w:t>the comments on section 9767.1(a</w:t>
      </w:r>
      <w:proofErr w:type="gramStart"/>
      <w:r w:rsidRPr="00B806EF">
        <w:rPr>
          <w:bCs/>
          <w:i/>
          <w:strike w:val="0"/>
        </w:rPr>
        <w:t>)(</w:t>
      </w:r>
      <w:proofErr w:type="gramEnd"/>
      <w:r w:rsidRPr="00B806EF">
        <w:rPr>
          <w:bCs/>
          <w:i/>
          <w:strike w:val="0"/>
        </w:rPr>
        <w:t xml:space="preserve">25) and 9767.5(a). </w:t>
      </w:r>
    </w:p>
    <w:p w:rsidR="004C27B9" w:rsidRPr="00BA0E3E" w:rsidRDefault="004C27B9" w:rsidP="00E63BAE">
      <w:pPr>
        <w:overflowPunct w:val="0"/>
        <w:adjustRightInd w:val="0"/>
        <w:spacing w:before="240"/>
        <w:textAlignment w:val="baseline"/>
        <w:rPr>
          <w:strike w:val="0"/>
          <w:u w:val="single"/>
        </w:rPr>
      </w:pPr>
      <w:r w:rsidRPr="00E06871">
        <w:rPr>
          <w:strike w:val="0"/>
          <w:highlight w:val="yellow"/>
          <w:u w:val="single"/>
        </w:rPr>
        <w:t>(</w:t>
      </w:r>
      <w:r w:rsidR="006402ED">
        <w:rPr>
          <w:strike w:val="0"/>
          <w:highlight w:val="yellow"/>
          <w:u w:val="single"/>
        </w:rPr>
        <w:t>a</w:t>
      </w:r>
      <w:r w:rsidRPr="00E06871">
        <w:rPr>
          <w:strike w:val="0"/>
          <w:highlight w:val="yellow"/>
          <w:u w:val="single"/>
        </w:rPr>
        <w:t>)</w:t>
      </w:r>
      <w:r w:rsidR="006402ED">
        <w:rPr>
          <w:strike w:val="0"/>
          <w:highlight w:val="yellow"/>
          <w:u w:val="single"/>
        </w:rPr>
        <w:t>(3)</w:t>
      </w:r>
      <w:r w:rsidRPr="00E06871">
        <w:rPr>
          <w:strike w:val="0"/>
          <w:highlight w:val="yellow"/>
          <w:u w:val="single"/>
        </w:rPr>
        <w:t xml:space="preserve"> Notwithstanding (b) and (c), these requirements are not intended to prevent the </w:t>
      </w:r>
      <w:r w:rsidR="007E0AC9" w:rsidRPr="00E06871">
        <w:rPr>
          <w:strike w:val="0"/>
          <w:highlight w:val="yellow"/>
          <w:u w:val="single"/>
        </w:rPr>
        <w:t>injured employee</w:t>
      </w:r>
      <w:r w:rsidRPr="00E06871">
        <w:rPr>
          <w:strike w:val="0"/>
          <w:highlight w:val="yellow"/>
          <w:u w:val="single"/>
        </w:rPr>
        <w:t xml:space="preserve"> from selecting </w:t>
      </w:r>
      <w:r w:rsidR="007E0AC9" w:rsidRPr="00E06871">
        <w:rPr>
          <w:strike w:val="0"/>
          <w:highlight w:val="yellow"/>
          <w:u w:val="single"/>
        </w:rPr>
        <w:t xml:space="preserve">from the nearest three </w:t>
      </w:r>
      <w:r w:rsidR="002E7438">
        <w:rPr>
          <w:strike w:val="0"/>
          <w:highlight w:val="yellow"/>
          <w:u w:val="single"/>
        </w:rPr>
        <w:t>physicians of that type</w:t>
      </w:r>
      <w:r w:rsidR="007E0AC9" w:rsidRPr="00E06871">
        <w:rPr>
          <w:strike w:val="0"/>
          <w:highlight w:val="yellow"/>
          <w:u w:val="single"/>
        </w:rPr>
        <w:t xml:space="preserve"> in the network</w:t>
      </w:r>
      <w:r w:rsidR="00FE1B86">
        <w:rPr>
          <w:strike w:val="0"/>
          <w:highlight w:val="yellow"/>
          <w:u w:val="single"/>
        </w:rPr>
        <w:t>,</w:t>
      </w:r>
      <w:r w:rsidR="007E0AC9" w:rsidRPr="00E06871">
        <w:rPr>
          <w:strike w:val="0"/>
          <w:highlight w:val="yellow"/>
          <w:u w:val="single"/>
        </w:rPr>
        <w:t xml:space="preserve"> or selecting </w:t>
      </w:r>
      <w:r w:rsidR="002E7438">
        <w:rPr>
          <w:strike w:val="0"/>
          <w:highlight w:val="yellow"/>
          <w:u w:val="single"/>
        </w:rPr>
        <w:t>physicians</w:t>
      </w:r>
      <w:r w:rsidRPr="00E06871">
        <w:rPr>
          <w:strike w:val="0"/>
          <w:highlight w:val="yellow"/>
          <w:u w:val="single"/>
        </w:rPr>
        <w:t xml:space="preserve"> as allowed by their </w:t>
      </w:r>
      <w:r w:rsidR="007E0AC9" w:rsidRPr="00E06871">
        <w:rPr>
          <w:strike w:val="0"/>
          <w:highlight w:val="yellow"/>
          <w:u w:val="single"/>
        </w:rPr>
        <w:t xml:space="preserve">network </w:t>
      </w:r>
      <w:r w:rsidRPr="00E06871">
        <w:rPr>
          <w:strike w:val="0"/>
          <w:highlight w:val="yellow"/>
          <w:u w:val="single"/>
        </w:rPr>
        <w:t>beyond the applicable geographic area specified by these standards.</w:t>
      </w:r>
      <w:r w:rsidRPr="00BA0E3E">
        <w:rPr>
          <w:strike w:val="0"/>
          <w:u w:val="single"/>
        </w:rPr>
        <w:t xml:space="preserve"> </w:t>
      </w:r>
    </w:p>
    <w:p w:rsidR="00E93EFA" w:rsidRDefault="00E93EFA" w:rsidP="00E63BAE">
      <w:pPr>
        <w:overflowPunct w:val="0"/>
        <w:adjustRightInd w:val="0"/>
        <w:spacing w:before="240"/>
        <w:ind w:left="720"/>
        <w:textAlignment w:val="baseline"/>
        <w:rPr>
          <w:i/>
          <w:strike w:val="0"/>
        </w:rPr>
      </w:pPr>
      <w:r>
        <w:rPr>
          <w:i/>
          <w:strike w:val="0"/>
        </w:rPr>
        <w:t xml:space="preserve">This recommended subsection is adapted from the language in </w:t>
      </w:r>
      <w:r w:rsidR="00D551E3">
        <w:rPr>
          <w:bCs/>
          <w:i/>
          <w:strike w:val="0"/>
        </w:rPr>
        <w:t xml:space="preserve">CCR, Title 10, section </w:t>
      </w:r>
      <w:r>
        <w:rPr>
          <w:i/>
          <w:strike w:val="0"/>
        </w:rPr>
        <w:t>2240.1(c</w:t>
      </w:r>
      <w:proofErr w:type="gramStart"/>
      <w:r>
        <w:rPr>
          <w:i/>
          <w:strike w:val="0"/>
        </w:rPr>
        <w:t>)(</w:t>
      </w:r>
      <w:proofErr w:type="gramEnd"/>
      <w:r>
        <w:rPr>
          <w:i/>
          <w:strike w:val="0"/>
        </w:rPr>
        <w:t>6).  It will ensure that injured employees have a choice of at least three</w:t>
      </w:r>
      <w:r w:rsidR="002E7438">
        <w:rPr>
          <w:i/>
          <w:strike w:val="0"/>
        </w:rPr>
        <w:t xml:space="preserve"> physicians of that type.</w:t>
      </w:r>
    </w:p>
    <w:p w:rsidR="006B7835" w:rsidRPr="00E93EFA" w:rsidRDefault="006B7835" w:rsidP="00E63BAE">
      <w:pPr>
        <w:overflowPunct w:val="0"/>
        <w:adjustRightInd w:val="0"/>
        <w:spacing w:before="240"/>
        <w:ind w:left="720"/>
        <w:textAlignment w:val="baseline"/>
        <w:rPr>
          <w:i/>
          <w:strike w:val="0"/>
        </w:rPr>
      </w:pPr>
      <w:r>
        <w:rPr>
          <w:i/>
          <w:strike w:val="0"/>
        </w:rPr>
        <w:t xml:space="preserve">If this section is </w:t>
      </w:r>
      <w:r w:rsidR="009764F8">
        <w:rPr>
          <w:i/>
          <w:strike w:val="0"/>
        </w:rPr>
        <w:t xml:space="preserve">inserted </w:t>
      </w:r>
      <w:r w:rsidR="004C7DD5">
        <w:rPr>
          <w:i/>
          <w:strike w:val="0"/>
        </w:rPr>
        <w:t xml:space="preserve">here as the Institute recommends, subsequent subdivisions (d) through (j) must be </w:t>
      </w:r>
      <w:r w:rsidR="00832EEF">
        <w:rPr>
          <w:i/>
          <w:strike w:val="0"/>
        </w:rPr>
        <w:t>re-</w:t>
      </w:r>
      <w:r w:rsidR="004C7DD5">
        <w:rPr>
          <w:i/>
          <w:strike w:val="0"/>
        </w:rPr>
        <w:t>alphabeti</w:t>
      </w:r>
      <w:r w:rsidR="00832EEF">
        <w:rPr>
          <w:i/>
          <w:strike w:val="0"/>
        </w:rPr>
        <w:t>zed.</w:t>
      </w:r>
      <w:r w:rsidR="005D4A53">
        <w:rPr>
          <w:i/>
          <w:strike w:val="0"/>
        </w:rPr>
        <w:t xml:space="preserve"> </w:t>
      </w:r>
    </w:p>
    <w:p w:rsidR="008261A9" w:rsidRPr="00443493" w:rsidRDefault="008261A9" w:rsidP="00E63BAE">
      <w:pPr>
        <w:overflowPunct w:val="0"/>
        <w:adjustRightInd w:val="0"/>
        <w:spacing w:before="240"/>
        <w:textAlignment w:val="baseline"/>
      </w:pPr>
      <w:r w:rsidRPr="00443493">
        <w:rPr>
          <w:highlight w:val="yellow"/>
        </w:rPr>
        <w:t>(</w:t>
      </w:r>
      <w:r w:rsidR="006402ED">
        <w:rPr>
          <w:highlight w:val="yellow"/>
        </w:rPr>
        <w:t>b</w:t>
      </w:r>
      <w:r w:rsidRPr="00443493">
        <w:rPr>
          <w:highlight w:val="yellow"/>
        </w:rPr>
        <w:t>) If a</w:t>
      </w:r>
      <w:r w:rsidR="006402ED">
        <w:rPr>
          <w:highlight w:val="yellow"/>
        </w:rPr>
        <w:t>n</w:t>
      </w:r>
      <w:r w:rsidRPr="00443493">
        <w:rPr>
          <w:highlight w:val="yellow"/>
        </w:rPr>
        <w:t xml:space="preserve"> MPN applicant believes that, given the facts and circumstances with regard to a portion of its service area, specifically </w:t>
      </w:r>
      <w:r w:rsidR="00B2151C">
        <w:rPr>
          <w:highlight w:val="yellow"/>
        </w:rPr>
        <w:t xml:space="preserve">areas in which there is a health care shortage, </w:t>
      </w:r>
      <w:r w:rsidR="00BF66DF">
        <w:rPr>
          <w:highlight w:val="yellow"/>
        </w:rPr>
        <w:t>including non-rural areas and</w:t>
      </w:r>
      <w:r w:rsidR="00B2151C">
        <w:rPr>
          <w:highlight w:val="yellow"/>
        </w:rPr>
        <w:t xml:space="preserve"> </w:t>
      </w:r>
      <w:r w:rsidRPr="00443493">
        <w:rPr>
          <w:highlight w:val="yellow"/>
        </w:rPr>
        <w:t>rural areas in which health facilities are located at least 30 miles apart</w:t>
      </w:r>
      <w:r w:rsidR="00B2151C">
        <w:rPr>
          <w:highlight w:val="yellow"/>
        </w:rPr>
        <w:t>,</w:t>
      </w:r>
      <w:r w:rsidRPr="00443493">
        <w:rPr>
          <w:highlight w:val="yellow"/>
        </w:rPr>
        <w:t xml:space="preserve"> the accessibility standards set forth in subdivisions (</w:t>
      </w:r>
      <w:r w:rsidR="00BF66DF">
        <w:rPr>
          <w:highlight w:val="yellow"/>
        </w:rPr>
        <w:t>a</w:t>
      </w:r>
      <w:proofErr w:type="gramStart"/>
      <w:r w:rsidRPr="00443493">
        <w:rPr>
          <w:highlight w:val="yellow"/>
        </w:rPr>
        <w:t>)</w:t>
      </w:r>
      <w:r w:rsidR="00BF66DF">
        <w:rPr>
          <w:highlight w:val="yellow"/>
        </w:rPr>
        <w:t>(</w:t>
      </w:r>
      <w:proofErr w:type="gramEnd"/>
      <w:r w:rsidR="00BF66DF">
        <w:rPr>
          <w:highlight w:val="yellow"/>
        </w:rPr>
        <w:t>1)</w:t>
      </w:r>
      <w:r w:rsidRPr="00443493">
        <w:rPr>
          <w:highlight w:val="yellow"/>
        </w:rPr>
        <w:t xml:space="preserve"> and/or (</w:t>
      </w:r>
      <w:r w:rsidR="00BF66DF">
        <w:rPr>
          <w:highlight w:val="yellow"/>
        </w:rPr>
        <w:t>a</w:t>
      </w:r>
      <w:r w:rsidRPr="00443493">
        <w:rPr>
          <w:highlight w:val="yellow"/>
        </w:rPr>
        <w:t>)</w:t>
      </w:r>
      <w:r w:rsidR="00BF66DF">
        <w:rPr>
          <w:highlight w:val="yellow"/>
        </w:rPr>
        <w:t>(2)</w:t>
      </w:r>
      <w:r w:rsidRPr="00443493">
        <w:rPr>
          <w:highlight w:val="yellow"/>
        </w:rPr>
        <w:t xml:space="preserve"> </w:t>
      </w:r>
      <w:r w:rsidR="00BF66DF">
        <w:rPr>
          <w:highlight w:val="yellow"/>
        </w:rPr>
        <w:t>cannot be met</w:t>
      </w:r>
      <w:r w:rsidRPr="00443493">
        <w:rPr>
          <w:highlight w:val="yellow"/>
        </w:rPr>
        <w:t xml:space="preserve">, the MPN applicant may propose alternative standards of accessibility for that portion of its service area. The MPN applicant shall do so by including the proposed alternative standards in writing in its plan application or in a notice of MPN plan modification </w:t>
      </w:r>
      <w:r w:rsidR="00BF66DF">
        <w:rPr>
          <w:highlight w:val="yellow"/>
        </w:rPr>
        <w:t xml:space="preserve">and shall be reviewed and approved by the Administrative Director before the alternative </w:t>
      </w:r>
      <w:r w:rsidR="00A0657C">
        <w:rPr>
          <w:highlight w:val="yellow"/>
        </w:rPr>
        <w:t xml:space="preserve">standard </w:t>
      </w:r>
      <w:r w:rsidR="00BF66DF">
        <w:rPr>
          <w:highlight w:val="yellow"/>
        </w:rPr>
        <w:t>can be used</w:t>
      </w:r>
      <w:r w:rsidR="00B2151C">
        <w:rPr>
          <w:highlight w:val="yellow"/>
        </w:rPr>
        <w:t>.  The applicant shall</w:t>
      </w:r>
      <w:r w:rsidRPr="00443493">
        <w:rPr>
          <w:highlight w:val="yellow"/>
        </w:rPr>
        <w:t xml:space="preserve"> explain how the proposed </w:t>
      </w:r>
      <w:r w:rsidR="00B97AE5">
        <w:rPr>
          <w:highlight w:val="yellow"/>
        </w:rPr>
        <w:t xml:space="preserve">alternative mileage </w:t>
      </w:r>
      <w:r w:rsidRPr="00443493">
        <w:rPr>
          <w:highlight w:val="yellow"/>
        </w:rPr>
        <w:t xml:space="preserve">standard was determined </w:t>
      </w:r>
      <w:r w:rsidR="00B97AE5">
        <w:rPr>
          <w:highlight w:val="yellow"/>
        </w:rPr>
        <w:t xml:space="preserve">to be necessary for the </w:t>
      </w:r>
      <w:proofErr w:type="gramStart"/>
      <w:r w:rsidR="00B97AE5">
        <w:rPr>
          <w:highlight w:val="yellow"/>
        </w:rPr>
        <w:t>specialty(</w:t>
      </w:r>
      <w:proofErr w:type="spellStart"/>
      <w:proofErr w:type="gramEnd"/>
      <w:r w:rsidR="00B97AE5">
        <w:rPr>
          <w:highlight w:val="yellow"/>
        </w:rPr>
        <w:t>ies</w:t>
      </w:r>
      <w:proofErr w:type="spellEnd"/>
      <w:r w:rsidR="00B97AE5">
        <w:rPr>
          <w:highlight w:val="yellow"/>
        </w:rPr>
        <w:t>) in which there is a health care shortage</w:t>
      </w:r>
      <w:r w:rsidR="00A0657C">
        <w:rPr>
          <w:highlight w:val="yellow"/>
        </w:rPr>
        <w:t>, including a description of the geographic area(s) affected for each specialty at issue, how the applicant determined a physician shortage exists in each area and specialty how the alternative access distance was determined and why it is necessary</w:t>
      </w:r>
      <w:r w:rsidR="00B97AE5">
        <w:rPr>
          <w:highlight w:val="yellow"/>
        </w:rPr>
        <w:t>.  The alternative standards shall provide that</w:t>
      </w:r>
      <w:r w:rsidRPr="00443493">
        <w:rPr>
          <w:highlight w:val="yellow"/>
        </w:rPr>
        <w:t xml:space="preserve"> all services shall be available and accessible at reasonable times to all covered employees.</w:t>
      </w:r>
    </w:p>
    <w:p w:rsidR="002554F2" w:rsidRPr="00443493" w:rsidRDefault="002F2BE7" w:rsidP="00E63BAE">
      <w:pPr>
        <w:overflowPunct w:val="0"/>
        <w:adjustRightInd w:val="0"/>
        <w:spacing w:before="240"/>
        <w:textAlignment w:val="baseline"/>
        <w:rPr>
          <w:strike w:val="0"/>
          <w:u w:val="single"/>
        </w:rPr>
      </w:pPr>
      <w:r w:rsidRPr="00443493">
        <w:rPr>
          <w:strike w:val="0"/>
          <w:highlight w:val="yellow"/>
          <w:u w:val="single"/>
        </w:rPr>
        <w:t xml:space="preserve"> </w:t>
      </w:r>
      <w:r w:rsidR="002554F2" w:rsidRPr="00443493">
        <w:rPr>
          <w:strike w:val="0"/>
          <w:highlight w:val="yellow"/>
          <w:u w:val="single"/>
        </w:rPr>
        <w:t>(</w:t>
      </w:r>
      <w:r w:rsidR="00CF1F89">
        <w:rPr>
          <w:strike w:val="0"/>
          <w:highlight w:val="yellow"/>
          <w:u w:val="single"/>
        </w:rPr>
        <w:t>b</w:t>
      </w:r>
      <w:r w:rsidR="002554F2" w:rsidRPr="00443493">
        <w:rPr>
          <w:strike w:val="0"/>
          <w:highlight w:val="yellow"/>
          <w:u w:val="single"/>
        </w:rPr>
        <w:t xml:space="preserve">) If an </w:t>
      </w:r>
      <w:r w:rsidR="00223CCD" w:rsidRPr="00443493">
        <w:rPr>
          <w:strike w:val="0"/>
          <w:highlight w:val="yellow"/>
          <w:u w:val="single"/>
        </w:rPr>
        <w:t>MPN applicant</w:t>
      </w:r>
      <w:r w:rsidR="002554F2" w:rsidRPr="00443493">
        <w:rPr>
          <w:strike w:val="0"/>
          <w:highlight w:val="yellow"/>
          <w:u w:val="single"/>
        </w:rPr>
        <w:t xml:space="preserve"> is unable to meet the network access standard(s) required by this section due to the absence of </w:t>
      </w:r>
      <w:r w:rsidR="009A7354" w:rsidRPr="00443493">
        <w:rPr>
          <w:strike w:val="0"/>
          <w:highlight w:val="yellow"/>
          <w:u w:val="single"/>
        </w:rPr>
        <w:t>physicians</w:t>
      </w:r>
      <w:r w:rsidR="002554F2" w:rsidRPr="00443493">
        <w:rPr>
          <w:strike w:val="0"/>
          <w:highlight w:val="yellow"/>
          <w:u w:val="single"/>
        </w:rPr>
        <w:t xml:space="preserve"> </w:t>
      </w:r>
      <w:r w:rsidR="00E27F0A" w:rsidRPr="00443493">
        <w:rPr>
          <w:strike w:val="0"/>
          <w:highlight w:val="yellow"/>
          <w:u w:val="single"/>
        </w:rPr>
        <w:t xml:space="preserve">willing to treat workers’ compensation injuries </w:t>
      </w:r>
      <w:r w:rsidR="002554F2" w:rsidRPr="00443493">
        <w:rPr>
          <w:strike w:val="0"/>
          <w:highlight w:val="yellow"/>
          <w:u w:val="single"/>
        </w:rPr>
        <w:t xml:space="preserve">located within sufficient geographic proximity </w:t>
      </w:r>
      <w:r w:rsidR="00FE1B86">
        <w:rPr>
          <w:strike w:val="0"/>
          <w:highlight w:val="yellow"/>
          <w:u w:val="single"/>
        </w:rPr>
        <w:t xml:space="preserve">to </w:t>
      </w:r>
      <w:r w:rsidR="002554F2" w:rsidRPr="00443493">
        <w:rPr>
          <w:strike w:val="0"/>
          <w:highlight w:val="yellow"/>
          <w:u w:val="single"/>
        </w:rPr>
        <w:t xml:space="preserve">covered </w:t>
      </w:r>
      <w:r w:rsidR="009A7354" w:rsidRPr="00443493">
        <w:rPr>
          <w:strike w:val="0"/>
          <w:highlight w:val="yellow"/>
          <w:u w:val="single"/>
        </w:rPr>
        <w:t>employees</w:t>
      </w:r>
      <w:r w:rsidR="002554F2" w:rsidRPr="00443493">
        <w:rPr>
          <w:strike w:val="0"/>
          <w:highlight w:val="yellow"/>
          <w:u w:val="single"/>
        </w:rPr>
        <w:t>, the</w:t>
      </w:r>
      <w:r w:rsidR="009A7354" w:rsidRPr="00443493">
        <w:rPr>
          <w:strike w:val="0"/>
          <w:highlight w:val="yellow"/>
          <w:u w:val="single"/>
        </w:rPr>
        <w:t xml:space="preserve"> MPN applicant may propose </w:t>
      </w:r>
      <w:r w:rsidR="00BC0B9C">
        <w:rPr>
          <w:strike w:val="0"/>
          <w:highlight w:val="yellow"/>
          <w:u w:val="single"/>
        </w:rPr>
        <w:t xml:space="preserve">an </w:t>
      </w:r>
      <w:r w:rsidR="009A7354" w:rsidRPr="00443493">
        <w:rPr>
          <w:strike w:val="0"/>
          <w:highlight w:val="yellow"/>
          <w:u w:val="single"/>
        </w:rPr>
        <w:t xml:space="preserve">alternative </w:t>
      </w:r>
      <w:r w:rsidR="00BC0B9C">
        <w:rPr>
          <w:strike w:val="0"/>
          <w:highlight w:val="yellow"/>
          <w:u w:val="single"/>
        </w:rPr>
        <w:t xml:space="preserve">mileage </w:t>
      </w:r>
      <w:r w:rsidR="009A7354" w:rsidRPr="00443493">
        <w:rPr>
          <w:strike w:val="0"/>
          <w:highlight w:val="yellow"/>
          <w:u w:val="single"/>
        </w:rPr>
        <w:t>standard in its application</w:t>
      </w:r>
      <w:r w:rsidR="008113C2">
        <w:rPr>
          <w:strike w:val="0"/>
          <w:highlight w:val="yellow"/>
          <w:u w:val="single"/>
        </w:rPr>
        <w:t xml:space="preserve"> or may specify that the injured covered employee may select a physician of that type outside the MPN</w:t>
      </w:r>
      <w:r w:rsidR="00FB3EB6">
        <w:rPr>
          <w:strike w:val="0"/>
          <w:highlight w:val="yellow"/>
          <w:u w:val="single"/>
        </w:rPr>
        <w:t xml:space="preserve"> within a reasonable geographic area</w:t>
      </w:r>
      <w:r w:rsidR="0080094C">
        <w:rPr>
          <w:strike w:val="0"/>
          <w:highlight w:val="yellow"/>
          <w:u w:val="single"/>
        </w:rPr>
        <w:t xml:space="preserve"> until </w:t>
      </w:r>
      <w:r w:rsidR="00F54E80">
        <w:rPr>
          <w:strike w:val="0"/>
          <w:highlight w:val="yellow"/>
          <w:u w:val="single"/>
        </w:rPr>
        <w:t>the MPN is able to provide the necessary treatment through an MPN physician</w:t>
      </w:r>
      <w:r w:rsidR="002554F2" w:rsidRPr="00443493">
        <w:rPr>
          <w:strike w:val="0"/>
          <w:highlight w:val="yellow"/>
          <w:u w:val="single"/>
        </w:rPr>
        <w:t xml:space="preserve">. </w:t>
      </w:r>
      <w:r w:rsidR="008113C2">
        <w:rPr>
          <w:strike w:val="0"/>
          <w:highlight w:val="yellow"/>
          <w:u w:val="single"/>
        </w:rPr>
        <w:t xml:space="preserve"> </w:t>
      </w:r>
      <w:r w:rsidR="002554F2" w:rsidRPr="00443493">
        <w:rPr>
          <w:strike w:val="0"/>
          <w:highlight w:val="yellow"/>
          <w:u w:val="single"/>
        </w:rPr>
        <w:t xml:space="preserve">Such </w:t>
      </w:r>
      <w:r w:rsidR="00FE1B86">
        <w:rPr>
          <w:strike w:val="0"/>
          <w:highlight w:val="yellow"/>
          <w:u w:val="single"/>
        </w:rPr>
        <w:t xml:space="preserve">a </w:t>
      </w:r>
      <w:r w:rsidR="00E27F0A" w:rsidRPr="00443493">
        <w:rPr>
          <w:strike w:val="0"/>
          <w:highlight w:val="yellow"/>
          <w:u w:val="single"/>
        </w:rPr>
        <w:t>proposal</w:t>
      </w:r>
      <w:r w:rsidR="002554F2" w:rsidRPr="00443493">
        <w:rPr>
          <w:strike w:val="0"/>
          <w:highlight w:val="yellow"/>
          <w:u w:val="single"/>
        </w:rPr>
        <w:t xml:space="preserve"> </w:t>
      </w:r>
      <w:r w:rsidR="00E27F0A" w:rsidRPr="00443493">
        <w:rPr>
          <w:strike w:val="0"/>
          <w:highlight w:val="yellow"/>
          <w:u w:val="single"/>
        </w:rPr>
        <w:t>shall</w:t>
      </w:r>
      <w:r w:rsidR="002554F2" w:rsidRPr="00443493">
        <w:rPr>
          <w:strike w:val="0"/>
          <w:highlight w:val="yellow"/>
          <w:u w:val="single"/>
        </w:rPr>
        <w:t xml:space="preserve"> include, at a minimum, a description of the affected area and covered </w:t>
      </w:r>
      <w:r w:rsidR="00E27F0A" w:rsidRPr="00443493">
        <w:rPr>
          <w:strike w:val="0"/>
          <w:highlight w:val="yellow"/>
          <w:u w:val="single"/>
        </w:rPr>
        <w:t>employees</w:t>
      </w:r>
      <w:r w:rsidR="002554F2" w:rsidRPr="00443493">
        <w:rPr>
          <w:strike w:val="0"/>
          <w:highlight w:val="yellow"/>
          <w:u w:val="single"/>
        </w:rPr>
        <w:t xml:space="preserve"> in that area</w:t>
      </w:r>
      <w:r w:rsidR="00EE3AAC" w:rsidRPr="00443493">
        <w:rPr>
          <w:strike w:val="0"/>
          <w:highlight w:val="yellow"/>
          <w:u w:val="single"/>
        </w:rPr>
        <w:t>,</w:t>
      </w:r>
      <w:r w:rsidR="002554F2" w:rsidRPr="00443493">
        <w:rPr>
          <w:strike w:val="0"/>
          <w:highlight w:val="yellow"/>
          <w:u w:val="single"/>
        </w:rPr>
        <w:t xml:space="preserve"> how the </w:t>
      </w:r>
      <w:r w:rsidR="00E27F0A" w:rsidRPr="00443493">
        <w:rPr>
          <w:strike w:val="0"/>
          <w:highlight w:val="yellow"/>
          <w:u w:val="single"/>
        </w:rPr>
        <w:t>applicant</w:t>
      </w:r>
      <w:r w:rsidR="002554F2" w:rsidRPr="00443493">
        <w:rPr>
          <w:strike w:val="0"/>
          <w:highlight w:val="yellow"/>
          <w:u w:val="single"/>
        </w:rPr>
        <w:t xml:space="preserve"> determined the absence of practicing providers</w:t>
      </w:r>
      <w:r w:rsidR="00EE3AAC" w:rsidRPr="00443493">
        <w:rPr>
          <w:strike w:val="0"/>
          <w:highlight w:val="yellow"/>
          <w:u w:val="single"/>
        </w:rPr>
        <w:t xml:space="preserve">, and how the proposal will </w:t>
      </w:r>
      <w:r w:rsidR="00951466">
        <w:rPr>
          <w:strike w:val="0"/>
          <w:highlight w:val="yellow"/>
          <w:u w:val="single"/>
        </w:rPr>
        <w:t>ensure</w:t>
      </w:r>
      <w:r w:rsidR="00EE3AAC" w:rsidRPr="00443493">
        <w:rPr>
          <w:strike w:val="0"/>
          <w:highlight w:val="yellow"/>
          <w:u w:val="single"/>
        </w:rPr>
        <w:t xml:space="preserve"> </w:t>
      </w:r>
      <w:r w:rsidR="00FE1B86">
        <w:rPr>
          <w:strike w:val="0"/>
          <w:highlight w:val="yellow"/>
          <w:u w:val="single"/>
        </w:rPr>
        <w:t xml:space="preserve">the availability of </w:t>
      </w:r>
      <w:r w:rsidR="00443493">
        <w:rPr>
          <w:strike w:val="0"/>
          <w:highlight w:val="yellow"/>
          <w:u w:val="single"/>
        </w:rPr>
        <w:t xml:space="preserve">treatment for </w:t>
      </w:r>
      <w:r w:rsidR="00EE3AAC" w:rsidRPr="00443493">
        <w:rPr>
          <w:strike w:val="0"/>
          <w:highlight w:val="yellow"/>
          <w:u w:val="single"/>
        </w:rPr>
        <w:t xml:space="preserve">injured </w:t>
      </w:r>
      <w:r w:rsidR="00BC0B9C">
        <w:rPr>
          <w:strike w:val="0"/>
          <w:highlight w:val="yellow"/>
          <w:u w:val="single"/>
        </w:rPr>
        <w:t xml:space="preserve">covered </w:t>
      </w:r>
      <w:r w:rsidR="00EE3AAC" w:rsidRPr="00443493">
        <w:rPr>
          <w:strike w:val="0"/>
          <w:highlight w:val="yellow"/>
          <w:u w:val="single"/>
        </w:rPr>
        <w:t xml:space="preserve">employees </w:t>
      </w:r>
      <w:r w:rsidR="00443493" w:rsidRPr="00443493">
        <w:rPr>
          <w:strike w:val="0"/>
          <w:highlight w:val="yellow"/>
          <w:u w:val="single"/>
        </w:rPr>
        <w:t>who work and reside in that area</w:t>
      </w:r>
      <w:r w:rsidR="002554F2" w:rsidRPr="00443493">
        <w:rPr>
          <w:strike w:val="0"/>
          <w:highlight w:val="yellow"/>
          <w:u w:val="single"/>
        </w:rPr>
        <w:t>.</w:t>
      </w:r>
      <w:r w:rsidR="002554F2" w:rsidRPr="00443493">
        <w:rPr>
          <w:strike w:val="0"/>
          <w:u w:val="single"/>
        </w:rPr>
        <w:t xml:space="preserve"> </w:t>
      </w:r>
    </w:p>
    <w:p w:rsidR="00B60C8B" w:rsidRDefault="002F2BE7" w:rsidP="00E63BAE">
      <w:pPr>
        <w:overflowPunct w:val="0"/>
        <w:adjustRightInd w:val="0"/>
        <w:spacing w:before="240"/>
        <w:ind w:left="720"/>
        <w:textAlignment w:val="baseline"/>
        <w:rPr>
          <w:i/>
          <w:strike w:val="0"/>
        </w:rPr>
      </w:pPr>
      <w:r w:rsidRPr="00EF29A0">
        <w:rPr>
          <w:i/>
          <w:strike w:val="0"/>
        </w:rPr>
        <w:t>LC section 4616(a</w:t>
      </w:r>
      <w:proofErr w:type="gramStart"/>
      <w:r w:rsidRPr="00EF29A0">
        <w:rPr>
          <w:i/>
          <w:strike w:val="0"/>
        </w:rPr>
        <w:t>)(</w:t>
      </w:r>
      <w:proofErr w:type="gramEnd"/>
      <w:r w:rsidRPr="00EF29A0">
        <w:rPr>
          <w:i/>
          <w:strike w:val="0"/>
        </w:rPr>
        <w:t>2) specifies that medical treatment for injuries must be</w:t>
      </w:r>
      <w:r w:rsidRPr="00EF29A0">
        <w:rPr>
          <w:strike w:val="0"/>
        </w:rPr>
        <w:t xml:space="preserve"> </w:t>
      </w:r>
      <w:r w:rsidRPr="00EF29A0">
        <w:rPr>
          <w:i/>
          <w:strike w:val="0"/>
        </w:rPr>
        <w:t xml:space="preserve">available and accessible </w:t>
      </w:r>
      <w:r w:rsidR="008947AB" w:rsidRPr="00EF29A0">
        <w:rPr>
          <w:i/>
          <w:strike w:val="0"/>
          <w:u w:val="single"/>
        </w:rPr>
        <w:t>to the extent feasible</w:t>
      </w:r>
      <w:r w:rsidR="008947AB" w:rsidRPr="00EF29A0">
        <w:rPr>
          <w:i/>
          <w:strike w:val="0"/>
        </w:rPr>
        <w:t xml:space="preserve"> </w:t>
      </w:r>
      <w:r w:rsidRPr="00EF29A0">
        <w:rPr>
          <w:i/>
          <w:strike w:val="0"/>
        </w:rPr>
        <w:t>at reasonable times to all covered employees.</w:t>
      </w:r>
      <w:r>
        <w:rPr>
          <w:i/>
          <w:strike w:val="0"/>
        </w:rPr>
        <w:t xml:space="preserve">  This proposed alternative language is </w:t>
      </w:r>
      <w:r w:rsidR="00A40A32">
        <w:rPr>
          <w:i/>
          <w:strike w:val="0"/>
        </w:rPr>
        <w:t>based on language</w:t>
      </w:r>
      <w:r>
        <w:rPr>
          <w:i/>
          <w:strike w:val="0"/>
        </w:rPr>
        <w:t xml:space="preserve"> </w:t>
      </w:r>
      <w:r w:rsidR="00A40A32">
        <w:rPr>
          <w:i/>
          <w:strike w:val="0"/>
        </w:rPr>
        <w:t>in</w:t>
      </w:r>
      <w:r>
        <w:rPr>
          <w:i/>
          <w:strike w:val="0"/>
        </w:rPr>
        <w:t xml:space="preserve"> </w:t>
      </w:r>
      <w:r w:rsidR="00D551E3">
        <w:rPr>
          <w:bCs/>
          <w:i/>
          <w:strike w:val="0"/>
        </w:rPr>
        <w:t xml:space="preserve">CCR, Title 10, section </w:t>
      </w:r>
      <w:r>
        <w:rPr>
          <w:i/>
          <w:strike w:val="0"/>
        </w:rPr>
        <w:t>2240.1(c</w:t>
      </w:r>
      <w:proofErr w:type="gramStart"/>
      <w:r>
        <w:rPr>
          <w:i/>
          <w:strike w:val="0"/>
        </w:rPr>
        <w:t>)(</w:t>
      </w:r>
      <w:proofErr w:type="gramEnd"/>
      <w:r>
        <w:rPr>
          <w:i/>
          <w:strike w:val="0"/>
        </w:rPr>
        <w:t>7).</w:t>
      </w:r>
      <w:r w:rsidR="00A40A32">
        <w:rPr>
          <w:i/>
          <w:strike w:val="0"/>
        </w:rPr>
        <w:t xml:space="preserve">  The MPN time and distance access standards language should </w:t>
      </w:r>
      <w:r w:rsidR="006C76A7">
        <w:rPr>
          <w:i/>
          <w:strike w:val="0"/>
        </w:rPr>
        <w:t>parallel</w:t>
      </w:r>
      <w:r w:rsidR="00A40A32">
        <w:rPr>
          <w:i/>
          <w:strike w:val="0"/>
        </w:rPr>
        <w:t>, to the extent feasible</w:t>
      </w:r>
      <w:r w:rsidR="006C76A7">
        <w:rPr>
          <w:i/>
          <w:strike w:val="0"/>
        </w:rPr>
        <w:t xml:space="preserve">, the language </w:t>
      </w:r>
      <w:r w:rsidR="00D551E3">
        <w:rPr>
          <w:i/>
          <w:strike w:val="0"/>
        </w:rPr>
        <w:t>of section</w:t>
      </w:r>
      <w:r w:rsidR="00060F69">
        <w:rPr>
          <w:i/>
          <w:strike w:val="0"/>
        </w:rPr>
        <w:t xml:space="preserve"> 2240.1</w:t>
      </w:r>
      <w:r w:rsidR="00951466">
        <w:rPr>
          <w:i/>
          <w:strike w:val="0"/>
        </w:rPr>
        <w:t>’s</w:t>
      </w:r>
      <w:r w:rsidR="006C76A7">
        <w:rPr>
          <w:i/>
          <w:strike w:val="0"/>
        </w:rPr>
        <w:t xml:space="preserve"> time and distance access standards.  </w:t>
      </w:r>
      <w:r w:rsidR="00951466">
        <w:rPr>
          <w:i/>
          <w:strike w:val="0"/>
        </w:rPr>
        <w:t xml:space="preserve">It is reasonable for the MPN applicant to propose either an alternative mileage standard or to permit the injured employee to </w:t>
      </w:r>
      <w:r w:rsidR="00FB3EB6">
        <w:rPr>
          <w:i/>
          <w:strike w:val="0"/>
        </w:rPr>
        <w:t>select a physician of that type outside the MPN within a reasonable geographic area</w:t>
      </w:r>
      <w:r w:rsidR="00EC6486">
        <w:rPr>
          <w:i/>
          <w:strike w:val="0"/>
        </w:rPr>
        <w:t xml:space="preserve"> until the MPN is able to provide the treatment through an MPN physician</w:t>
      </w:r>
      <w:r w:rsidR="00FB3EB6">
        <w:rPr>
          <w:i/>
          <w:strike w:val="0"/>
        </w:rPr>
        <w:t>.</w:t>
      </w:r>
    </w:p>
    <w:p w:rsidR="00EC6486" w:rsidRDefault="00EC6486" w:rsidP="00E63BAE">
      <w:pPr>
        <w:overflowPunct w:val="0"/>
        <w:adjustRightInd w:val="0"/>
        <w:textAlignment w:val="baseline"/>
        <w:rPr>
          <w:strike w:val="0"/>
        </w:rPr>
      </w:pPr>
    </w:p>
    <w:p w:rsidR="00327D29" w:rsidRPr="00AC370D" w:rsidRDefault="00327D29" w:rsidP="00327D29">
      <w:pPr>
        <w:overflowPunct w:val="0"/>
        <w:adjustRightInd w:val="0"/>
        <w:textAlignment w:val="baseline"/>
        <w:rPr>
          <w:strike w:val="0"/>
        </w:rPr>
      </w:pPr>
      <w:r w:rsidRPr="00327D29">
        <w:rPr>
          <w:strike w:val="0"/>
        </w:rPr>
        <w:t xml:space="preserve">(f) For non-emergency services, the MPN applicant shall ensure that an appointment for </w:t>
      </w:r>
      <w:r w:rsidRPr="00AC370D">
        <w:rPr>
          <w:strike w:val="0"/>
        </w:rPr>
        <w:t>the first</w:t>
      </w:r>
      <w:r w:rsidRPr="00AC370D">
        <w:rPr>
          <w:strike w:val="0"/>
          <w:u w:val="single"/>
        </w:rPr>
        <w:t xml:space="preserve"> </w:t>
      </w:r>
      <w:r w:rsidRPr="00AC370D">
        <w:rPr>
          <w:strike w:val="0"/>
        </w:rPr>
        <w:t>treatment visit under the MPN</w:t>
      </w:r>
      <w:r w:rsidRPr="00327D29">
        <w:rPr>
          <w:strike w:val="0"/>
        </w:rPr>
        <w:t xml:space="preserve"> is available within 3 business days </w:t>
      </w:r>
      <w:r w:rsidRPr="00AC370D">
        <w:rPr>
          <w:strike w:val="0"/>
        </w:rPr>
        <w:t>of</w:t>
      </w:r>
      <w:r w:rsidR="00AC370D">
        <w:rPr>
          <w:strike w:val="0"/>
        </w:rPr>
        <w:t xml:space="preserve"> </w:t>
      </w:r>
      <w:r w:rsidRPr="00AC370D">
        <w:rPr>
          <w:strike w:val="0"/>
        </w:rPr>
        <w:t xml:space="preserve">a covered employee’s notice </w:t>
      </w:r>
      <w:r w:rsidRPr="00AC370D">
        <w:rPr>
          <w:highlight w:val="yellow"/>
        </w:rPr>
        <w:t xml:space="preserve">to </w:t>
      </w:r>
      <w:r w:rsidRPr="00FB72F1">
        <w:rPr>
          <w:highlight w:val="yellow"/>
        </w:rPr>
        <w:t>the employer or</w:t>
      </w:r>
      <w:r w:rsidRPr="00AC370D">
        <w:rPr>
          <w:strike w:val="0"/>
        </w:rPr>
        <w:t xml:space="preserve"> to an MPN medical access assistant that treatment is needed.</w:t>
      </w:r>
    </w:p>
    <w:p w:rsidR="00327D29" w:rsidRPr="00327D29" w:rsidRDefault="00327D29" w:rsidP="00327D29">
      <w:pPr>
        <w:overflowPunct w:val="0"/>
        <w:adjustRightInd w:val="0"/>
        <w:textAlignment w:val="baseline"/>
        <w:rPr>
          <w:strike w:val="0"/>
        </w:rPr>
      </w:pPr>
    </w:p>
    <w:p w:rsidR="00327D29" w:rsidRPr="00895723" w:rsidRDefault="00327D29" w:rsidP="00895723">
      <w:pPr>
        <w:overflowPunct w:val="0"/>
        <w:adjustRightInd w:val="0"/>
        <w:ind w:left="720"/>
        <w:textAlignment w:val="baseline"/>
        <w:rPr>
          <w:i/>
          <w:strike w:val="0"/>
        </w:rPr>
      </w:pPr>
      <w:bookmarkStart w:id="6" w:name="I309193A2CF0111E2A3BEAE4168993EE1"/>
      <w:bookmarkStart w:id="7" w:name="I309193A3CF0111E2A3BEAE4168993EE1"/>
      <w:bookmarkEnd w:id="6"/>
      <w:bookmarkEnd w:id="7"/>
      <w:r w:rsidRPr="00895723">
        <w:rPr>
          <w:i/>
          <w:strike w:val="0"/>
        </w:rPr>
        <w:t>We suggest removing “to the employer</w:t>
      </w:r>
      <w:r w:rsidR="00FB72F1">
        <w:rPr>
          <w:i/>
          <w:strike w:val="0"/>
        </w:rPr>
        <w:t xml:space="preserve"> or</w:t>
      </w:r>
      <w:r w:rsidRPr="00895723">
        <w:rPr>
          <w:i/>
          <w:strike w:val="0"/>
        </w:rPr>
        <w:t>”</w:t>
      </w:r>
      <w:r w:rsidR="00895723">
        <w:rPr>
          <w:i/>
          <w:strike w:val="0"/>
        </w:rPr>
        <w:t xml:space="preserve"> as</w:t>
      </w:r>
      <w:r w:rsidRPr="00895723">
        <w:rPr>
          <w:i/>
          <w:strike w:val="0"/>
        </w:rPr>
        <w:t xml:space="preserve"> </w:t>
      </w:r>
      <w:r w:rsidR="00895723">
        <w:rPr>
          <w:i/>
          <w:strike w:val="0"/>
        </w:rPr>
        <w:t>t</w:t>
      </w:r>
      <w:r w:rsidRPr="00895723">
        <w:rPr>
          <w:i/>
          <w:strike w:val="0"/>
        </w:rPr>
        <w:t xml:space="preserve">he MPN would have no way of ensuring treatment within the required timeframe if notification was to the employer.  </w:t>
      </w:r>
      <w:r w:rsidR="00895723">
        <w:rPr>
          <w:i/>
          <w:strike w:val="0"/>
        </w:rPr>
        <w:t>T</w:t>
      </w:r>
      <w:r w:rsidRPr="00895723">
        <w:rPr>
          <w:i/>
          <w:strike w:val="0"/>
        </w:rPr>
        <w:t xml:space="preserve">he trigger should be when the </w:t>
      </w:r>
      <w:r w:rsidRPr="00AC64BC">
        <w:rPr>
          <w:i/>
          <w:strike w:val="0"/>
          <w:highlight w:val="cyan"/>
        </w:rPr>
        <w:t>MPN applicant is</w:t>
      </w:r>
      <w:r w:rsidRPr="00895723">
        <w:rPr>
          <w:i/>
          <w:strike w:val="0"/>
        </w:rPr>
        <w:t xml:space="preserve"> notified</w:t>
      </w:r>
      <w:r w:rsidR="00895723">
        <w:rPr>
          <w:i/>
          <w:strike w:val="0"/>
        </w:rPr>
        <w:t xml:space="preserve">, </w:t>
      </w:r>
      <w:r w:rsidRPr="00895723">
        <w:rPr>
          <w:i/>
          <w:strike w:val="0"/>
        </w:rPr>
        <w:t>as noted in the current regulations</w:t>
      </w:r>
      <w:r w:rsidR="00895723">
        <w:rPr>
          <w:i/>
          <w:strike w:val="0"/>
        </w:rPr>
        <w:t>,</w:t>
      </w:r>
      <w:r w:rsidRPr="00895723">
        <w:rPr>
          <w:i/>
          <w:strike w:val="0"/>
        </w:rPr>
        <w:t xml:space="preserve"> or upon notice to the medical access assistant. </w:t>
      </w:r>
    </w:p>
    <w:p w:rsidR="00327D29" w:rsidRPr="00327D29" w:rsidRDefault="00327D29" w:rsidP="00327D29">
      <w:pPr>
        <w:overflowPunct w:val="0"/>
        <w:adjustRightInd w:val="0"/>
        <w:textAlignment w:val="baseline"/>
        <w:rPr>
          <w:strike w:val="0"/>
        </w:rPr>
      </w:pPr>
    </w:p>
    <w:p w:rsidR="00327D29" w:rsidRPr="00155C36" w:rsidRDefault="00327D29" w:rsidP="00327D29">
      <w:pPr>
        <w:overflowPunct w:val="0"/>
        <w:adjustRightInd w:val="0"/>
        <w:textAlignment w:val="baseline"/>
      </w:pPr>
      <w:r w:rsidRPr="00327D29">
        <w:rPr>
          <w:strike w:val="0"/>
        </w:rPr>
        <w:t xml:space="preserve">(g) For non-emergency specialist services to treat common injuries experienced by the covered employees based on the type of occupation or industry in which the employee is engaged, the MPN applicant shall ensure that an </w:t>
      </w:r>
      <w:r w:rsidRPr="00755C21">
        <w:rPr>
          <w:strike w:val="0"/>
        </w:rPr>
        <w:t>initial</w:t>
      </w:r>
      <w:r w:rsidRPr="00327D29">
        <w:rPr>
          <w:strike w:val="0"/>
        </w:rPr>
        <w:t xml:space="preserve"> appointment </w:t>
      </w:r>
      <w:r w:rsidRPr="00755C21">
        <w:rPr>
          <w:strike w:val="0"/>
        </w:rPr>
        <w:t>with a specialist in an appropriate referred specialty</w:t>
      </w:r>
      <w:r w:rsidRPr="00327D29">
        <w:rPr>
          <w:strike w:val="0"/>
        </w:rPr>
        <w:t xml:space="preserve"> is available within 20 business days of </w:t>
      </w:r>
      <w:r w:rsidRPr="00155C36">
        <w:rPr>
          <w:strike w:val="0"/>
        </w:rPr>
        <w:t>a covered employee’s</w:t>
      </w:r>
      <w:r w:rsidRPr="00155C36">
        <w:rPr>
          <w:strike w:val="0"/>
          <w:highlight w:val="yellow"/>
          <w:u w:val="single"/>
        </w:rPr>
        <w:t xml:space="preserve"> notice to the MPN medical access assistant that treatment is needed.</w:t>
      </w:r>
      <w:r w:rsidR="00E6520F" w:rsidRPr="00E6520F">
        <w:rPr>
          <w:highlight w:val="yellow"/>
        </w:rPr>
        <w:t xml:space="preserve"> </w:t>
      </w:r>
      <w:proofErr w:type="gramStart"/>
      <w:r w:rsidRPr="00155C36">
        <w:rPr>
          <w:highlight w:val="yellow"/>
        </w:rPr>
        <w:t>a</w:t>
      </w:r>
      <w:proofErr w:type="gramEnd"/>
      <w:r w:rsidRPr="00155C36">
        <w:rPr>
          <w:highlight w:val="yellow"/>
        </w:rPr>
        <w:t xml:space="preserve"> covered employee’s reasonable requests for an appointment directly with a physician or through an MPN medical access assistant.  If an MPN medical access assistant is unable to schedule a timely medical appointment with an appropriate specialist within five business days of an employee’s request, the employer shall permit the employee to obtain necessary treatment with an appropriate specialist outside of the MPN.</w:t>
      </w:r>
    </w:p>
    <w:p w:rsidR="00327D29" w:rsidRPr="00327D29" w:rsidRDefault="00327D29" w:rsidP="00327D29">
      <w:pPr>
        <w:overflowPunct w:val="0"/>
        <w:adjustRightInd w:val="0"/>
        <w:textAlignment w:val="baseline"/>
        <w:rPr>
          <w:strike w:val="0"/>
        </w:rPr>
      </w:pPr>
    </w:p>
    <w:p w:rsidR="00327D29" w:rsidRPr="00155C36" w:rsidRDefault="004F1506" w:rsidP="00155C36">
      <w:pPr>
        <w:overflowPunct w:val="0"/>
        <w:adjustRightInd w:val="0"/>
        <w:ind w:left="720"/>
        <w:textAlignment w:val="baseline"/>
        <w:rPr>
          <w:i/>
          <w:strike w:val="0"/>
        </w:rPr>
      </w:pPr>
      <w:r>
        <w:rPr>
          <w:i/>
          <w:strike w:val="0"/>
        </w:rPr>
        <w:t>We s</w:t>
      </w:r>
      <w:r w:rsidR="00327D29" w:rsidRPr="00155C36">
        <w:rPr>
          <w:i/>
          <w:strike w:val="0"/>
        </w:rPr>
        <w:t xml:space="preserve">uggest using the same standard set forth in 9767.5 (f). </w:t>
      </w:r>
      <w:r>
        <w:rPr>
          <w:i/>
          <w:strike w:val="0"/>
        </w:rPr>
        <w:t xml:space="preserve"> </w:t>
      </w:r>
      <w:r w:rsidR="00327D29" w:rsidRPr="00155C36">
        <w:rPr>
          <w:i/>
          <w:strike w:val="0"/>
        </w:rPr>
        <w:t>The requirement should start when the covered employee notifies</w:t>
      </w:r>
      <w:r w:rsidR="006C2C55">
        <w:rPr>
          <w:i/>
          <w:strike w:val="0"/>
        </w:rPr>
        <w:t xml:space="preserve"> </w:t>
      </w:r>
      <w:r w:rsidR="00327D29" w:rsidRPr="00155C36">
        <w:rPr>
          <w:i/>
          <w:strike w:val="0"/>
        </w:rPr>
        <w:t xml:space="preserve">the MPN applicant or </w:t>
      </w:r>
      <w:r>
        <w:rPr>
          <w:i/>
          <w:strike w:val="0"/>
        </w:rPr>
        <w:t>its</w:t>
      </w:r>
      <w:r w:rsidR="00327D29" w:rsidRPr="00155C36">
        <w:rPr>
          <w:i/>
          <w:strike w:val="0"/>
        </w:rPr>
        <w:t xml:space="preserve"> medical access assistant.  Having the requirement start when a request is made to a physician is not consistent with the regulations.  The physician that the covered employee selects may not have availability within the timeframe, but there may be other appropriate </w:t>
      </w:r>
      <w:r w:rsidR="00200894">
        <w:rPr>
          <w:i/>
          <w:strike w:val="0"/>
        </w:rPr>
        <w:t>physicians</w:t>
      </w:r>
      <w:r w:rsidR="00327D29" w:rsidRPr="00155C36">
        <w:rPr>
          <w:i/>
          <w:strike w:val="0"/>
        </w:rPr>
        <w:t xml:space="preserve"> with availability within required access standard.  In addition, the requirement to authorize out of network care if an appointment is not made within 5 days of a request should be removed.  Not only does this dilute the established access standard of 20 business days</w:t>
      </w:r>
      <w:r w:rsidR="00E6520F">
        <w:rPr>
          <w:i/>
          <w:strike w:val="0"/>
        </w:rPr>
        <w:t>,</w:t>
      </w:r>
      <w:r w:rsidR="00327D29" w:rsidRPr="00155C36">
        <w:rPr>
          <w:i/>
          <w:strike w:val="0"/>
        </w:rPr>
        <w:t xml:space="preserve"> it does not take into account delays that are not due to the medical access assistant, </w:t>
      </w:r>
      <w:r w:rsidR="00200894">
        <w:rPr>
          <w:i/>
          <w:strike w:val="0"/>
        </w:rPr>
        <w:t>such as when the</w:t>
      </w:r>
      <w:r w:rsidR="00327D29" w:rsidRPr="00155C36">
        <w:rPr>
          <w:i/>
          <w:strike w:val="0"/>
        </w:rPr>
        <w:t xml:space="preserve"> covered employee doesn’t respond timely to requests from the medical access assistant.</w:t>
      </w:r>
    </w:p>
    <w:p w:rsidR="00327D29" w:rsidRDefault="00327D29" w:rsidP="00E63BAE">
      <w:pPr>
        <w:overflowPunct w:val="0"/>
        <w:adjustRightInd w:val="0"/>
        <w:textAlignment w:val="baseline"/>
        <w:rPr>
          <w:strike w:val="0"/>
        </w:rPr>
      </w:pPr>
    </w:p>
    <w:p w:rsidR="00A9343F" w:rsidRDefault="00A9343F" w:rsidP="00E63BAE">
      <w:pPr>
        <w:overflowPunct w:val="0"/>
        <w:adjustRightInd w:val="0"/>
        <w:textAlignment w:val="baseline"/>
        <w:rPr>
          <w:strike w:val="0"/>
        </w:rPr>
      </w:pPr>
      <w:r w:rsidRPr="00A9343F">
        <w:rPr>
          <w:strike w:val="0"/>
        </w:rPr>
        <w:t>(h) MPN</w:t>
      </w:r>
      <w:r w:rsidR="00651D92">
        <w:rPr>
          <w:strike w:val="0"/>
        </w:rPr>
        <w:t xml:space="preserve"> medical</w:t>
      </w:r>
      <w:r w:rsidRPr="00A9343F">
        <w:rPr>
          <w:strike w:val="0"/>
        </w:rPr>
        <w:t xml:space="preserve"> access assistants shall be located in the United States and </w:t>
      </w:r>
      <w:r w:rsidR="00651D92">
        <w:rPr>
          <w:strike w:val="0"/>
        </w:rPr>
        <w:t xml:space="preserve">shall be </w:t>
      </w:r>
      <w:r w:rsidRPr="00A9343F">
        <w:rPr>
          <w:strike w:val="0"/>
        </w:rPr>
        <w:t xml:space="preserve">available </w:t>
      </w:r>
      <w:r w:rsidR="00F07874" w:rsidRPr="0090003A">
        <w:rPr>
          <w:strike w:val="0"/>
        </w:rPr>
        <w:t>at a minimum from Monday through Saturday from 7 am to 8 pm, Pacific Time,</w:t>
      </w:r>
      <w:r w:rsidR="00F07874" w:rsidRPr="00A9343F">
        <w:rPr>
          <w:strike w:val="0"/>
        </w:rPr>
        <w:t xml:space="preserve"> </w:t>
      </w:r>
      <w:r w:rsidRPr="00A9343F">
        <w:rPr>
          <w:strike w:val="0"/>
        </w:rPr>
        <w:t>to provide employee assistance with access to medical care under the MPN</w:t>
      </w:r>
      <w:r w:rsidR="0090003A">
        <w:rPr>
          <w:strike w:val="0"/>
        </w:rPr>
        <w:t xml:space="preserve">.  </w:t>
      </w:r>
      <w:r w:rsidR="0090003A" w:rsidRPr="000540EF">
        <w:rPr>
          <w:highlight w:val="yellow"/>
        </w:rPr>
        <w:t>The employee assistance shall be available in English and Spanish.</w:t>
      </w:r>
      <w:r w:rsidR="0090003A" w:rsidRPr="000540EF">
        <w:t xml:space="preserve">  </w:t>
      </w:r>
      <w:r w:rsidR="0090003A">
        <w:rPr>
          <w:strike w:val="0"/>
        </w:rPr>
        <w:t>The assistance shall include but not be limited</w:t>
      </w:r>
      <w:r w:rsidRPr="00A9343F">
        <w:rPr>
          <w:strike w:val="0"/>
        </w:rPr>
        <w:t xml:space="preserve"> to contacting provider offices during regular business hours and scheduling medical appointments</w:t>
      </w:r>
      <w:r w:rsidR="0090003A">
        <w:rPr>
          <w:strike w:val="0"/>
        </w:rPr>
        <w:t xml:space="preserve"> for covered employees. </w:t>
      </w:r>
    </w:p>
    <w:p w:rsidR="00546B9F" w:rsidRDefault="00546B9F" w:rsidP="00E63BAE">
      <w:pPr>
        <w:overflowPunct w:val="0"/>
        <w:adjustRightInd w:val="0"/>
        <w:textAlignment w:val="baseline"/>
        <w:rPr>
          <w:strike w:val="0"/>
        </w:rPr>
      </w:pPr>
    </w:p>
    <w:p w:rsidR="00A54314" w:rsidRDefault="00A54314" w:rsidP="00E63BAE">
      <w:pPr>
        <w:overflowPunct w:val="0"/>
        <w:adjustRightInd w:val="0"/>
        <w:textAlignment w:val="baseline"/>
        <w:rPr>
          <w:i/>
          <w:strike w:val="0"/>
        </w:rPr>
      </w:pPr>
      <w:r>
        <w:rPr>
          <w:i/>
          <w:strike w:val="0"/>
        </w:rPr>
        <w:t xml:space="preserve">There is no statutory requirement to provide a Spanish-speaking MPN access assistant.  Interpreter services can be provided if needed.  </w:t>
      </w:r>
    </w:p>
    <w:p w:rsidR="00A54314" w:rsidRDefault="00A54314" w:rsidP="00E63BAE">
      <w:pPr>
        <w:overflowPunct w:val="0"/>
        <w:adjustRightInd w:val="0"/>
        <w:textAlignment w:val="baseline"/>
        <w:rPr>
          <w:i/>
          <w:strike w:val="0"/>
        </w:rPr>
      </w:pPr>
    </w:p>
    <w:p w:rsidR="00546B9F" w:rsidRPr="00546B9F" w:rsidRDefault="00546B9F" w:rsidP="00E63BAE">
      <w:pPr>
        <w:overflowPunct w:val="0"/>
        <w:adjustRightInd w:val="0"/>
        <w:textAlignment w:val="baseline"/>
      </w:pPr>
      <w:r w:rsidRPr="00163D22">
        <w:rPr>
          <w:highlight w:val="yellow"/>
        </w:rPr>
        <w:t xml:space="preserve">(1) There shall be </w:t>
      </w:r>
      <w:r w:rsidR="000540EF">
        <w:rPr>
          <w:highlight w:val="yellow"/>
        </w:rPr>
        <w:t xml:space="preserve">at least </w:t>
      </w:r>
      <w:r w:rsidRPr="00163D22">
        <w:rPr>
          <w:highlight w:val="yellow"/>
        </w:rPr>
        <w:t>one MPN access assistant available to respond at all required times, with the ability for callers to leave a voice message.  There shall be enough assistants to respond to calls, faxes or messages by the next day, excluding Sundays and holidays.</w:t>
      </w:r>
      <w:r w:rsidRPr="00546B9F">
        <w:t xml:space="preserve">  </w:t>
      </w:r>
    </w:p>
    <w:p w:rsidR="00A54314" w:rsidRPr="00A9343F" w:rsidRDefault="00A54314" w:rsidP="00E63BAE">
      <w:pPr>
        <w:overflowPunct w:val="0"/>
        <w:adjustRightInd w:val="0"/>
        <w:spacing w:before="240"/>
        <w:ind w:left="720"/>
        <w:textAlignment w:val="baseline"/>
        <w:rPr>
          <w:i/>
          <w:strike w:val="0"/>
        </w:rPr>
      </w:pPr>
      <w:r>
        <w:rPr>
          <w:i/>
          <w:strike w:val="0"/>
        </w:rPr>
        <w:t>There is no statutory requirement for voice messaging, faxes or messages.</w:t>
      </w:r>
      <w:r w:rsidR="00A70439">
        <w:rPr>
          <w:i/>
          <w:strike w:val="0"/>
        </w:rPr>
        <w:t xml:space="preserve">  This sub-section is </w:t>
      </w:r>
      <w:r w:rsidR="00163D22">
        <w:rPr>
          <w:i/>
          <w:strike w:val="0"/>
        </w:rPr>
        <w:t xml:space="preserve">not </w:t>
      </w:r>
      <w:r w:rsidR="00A70439">
        <w:rPr>
          <w:i/>
          <w:strike w:val="0"/>
        </w:rPr>
        <w:t>necessary.</w:t>
      </w:r>
    </w:p>
    <w:p w:rsidR="00546B9F" w:rsidRPr="00661632" w:rsidRDefault="00A54314" w:rsidP="00E63BAE">
      <w:pPr>
        <w:overflowPunct w:val="0"/>
        <w:adjustRightInd w:val="0"/>
        <w:spacing w:before="240"/>
        <w:textAlignment w:val="baseline"/>
        <w:rPr>
          <w:strike w:val="0"/>
        </w:rPr>
      </w:pPr>
      <w:r w:rsidRPr="00661632">
        <w:rPr>
          <w:strike w:val="0"/>
        </w:rPr>
        <w:lastRenderedPageBreak/>
        <w:t xml:space="preserve"> </w:t>
      </w:r>
      <w:r w:rsidR="00546B9F" w:rsidRPr="00661632">
        <w:rPr>
          <w:strike w:val="0"/>
        </w:rPr>
        <w:t xml:space="preserve">(2) </w:t>
      </w:r>
      <w:r w:rsidR="003F4711" w:rsidRPr="003F4711">
        <w:rPr>
          <w:strike w:val="0"/>
          <w:highlight w:val="yellow"/>
          <w:u w:val="single"/>
        </w:rPr>
        <w:t xml:space="preserve">Unless the MPN medical access assistant is also a claims adjuster the </w:t>
      </w:r>
      <w:proofErr w:type="spellStart"/>
      <w:r w:rsidR="00546B9F" w:rsidRPr="003F4711">
        <w:rPr>
          <w:highlight w:val="yellow"/>
        </w:rPr>
        <w:t>The</w:t>
      </w:r>
      <w:proofErr w:type="spellEnd"/>
      <w:r w:rsidR="00546B9F" w:rsidRPr="003F4711">
        <w:t xml:space="preserve"> </w:t>
      </w:r>
      <w:r w:rsidR="00546B9F" w:rsidRPr="00661632">
        <w:rPr>
          <w:strike w:val="0"/>
        </w:rPr>
        <w:t xml:space="preserve">MPN </w:t>
      </w:r>
      <w:r w:rsidR="000540EF" w:rsidRPr="00661632">
        <w:rPr>
          <w:strike w:val="0"/>
        </w:rPr>
        <w:t xml:space="preserve">medical </w:t>
      </w:r>
      <w:r w:rsidR="00546B9F" w:rsidRPr="00661632">
        <w:rPr>
          <w:strike w:val="0"/>
        </w:rPr>
        <w:t>access assistant</w:t>
      </w:r>
      <w:r w:rsidR="00546B9F" w:rsidRPr="003F4711">
        <w:rPr>
          <w:highlight w:val="yellow"/>
        </w:rPr>
        <w:t xml:space="preserve">s </w:t>
      </w:r>
      <w:r w:rsidR="000540EF" w:rsidRPr="003F4711">
        <w:rPr>
          <w:highlight w:val="yellow"/>
        </w:rPr>
        <w:t>do</w:t>
      </w:r>
      <w:r w:rsidR="003F4711">
        <w:rPr>
          <w:highlight w:val="yellow"/>
        </w:rPr>
        <w:t xml:space="preserve"> </w:t>
      </w:r>
      <w:r w:rsidR="003F4711" w:rsidRPr="003F4711">
        <w:rPr>
          <w:strike w:val="0"/>
          <w:highlight w:val="yellow"/>
          <w:u w:val="single"/>
        </w:rPr>
        <w:t>may</w:t>
      </w:r>
      <w:r w:rsidR="003F4711">
        <w:rPr>
          <w:strike w:val="0"/>
          <w:u w:val="single"/>
        </w:rPr>
        <w:t xml:space="preserve"> </w:t>
      </w:r>
      <w:r w:rsidR="000540EF" w:rsidRPr="00661632">
        <w:rPr>
          <w:strike w:val="0"/>
        </w:rPr>
        <w:t>not auth</w:t>
      </w:r>
      <w:r w:rsidR="00661632" w:rsidRPr="00661632">
        <w:rPr>
          <w:strike w:val="0"/>
        </w:rPr>
        <w:t>or</w:t>
      </w:r>
      <w:r w:rsidR="000540EF" w:rsidRPr="00661632">
        <w:rPr>
          <w:strike w:val="0"/>
        </w:rPr>
        <w:t>ize treatment</w:t>
      </w:r>
      <w:r w:rsidR="000540EF" w:rsidRPr="00986587">
        <w:t xml:space="preserve"> </w:t>
      </w:r>
      <w:r w:rsidR="000540EF" w:rsidRPr="003F4711">
        <w:rPr>
          <w:highlight w:val="yellow"/>
        </w:rPr>
        <w:t>and have different duties than claims adjusters</w:t>
      </w:r>
      <w:r w:rsidR="00661632" w:rsidRPr="00661632">
        <w:rPr>
          <w:strike w:val="0"/>
        </w:rPr>
        <w:t xml:space="preserve">.  </w:t>
      </w:r>
      <w:r w:rsidR="00661632" w:rsidRPr="006F3B82">
        <w:rPr>
          <w:highlight w:val="yellow"/>
        </w:rPr>
        <w:t xml:space="preserve">The MPN medical assistants </w:t>
      </w:r>
      <w:r w:rsidR="00756CB2">
        <w:rPr>
          <w:highlight w:val="yellow"/>
        </w:rPr>
        <w:t xml:space="preserve">are not to </w:t>
      </w:r>
      <w:proofErr w:type="spellStart"/>
      <w:r w:rsidR="00756CB2">
        <w:rPr>
          <w:highlight w:val="yellow"/>
        </w:rPr>
        <w:t>fuction</w:t>
      </w:r>
      <w:proofErr w:type="spellEnd"/>
      <w:r w:rsidR="00756CB2">
        <w:rPr>
          <w:highlight w:val="yellow"/>
        </w:rPr>
        <w:t xml:space="preserve"> as claims adjusters.  However, the assistants </w:t>
      </w:r>
      <w:r w:rsidR="00546B9F" w:rsidRPr="006F3B82">
        <w:rPr>
          <w:highlight w:val="yellow"/>
        </w:rPr>
        <w:t>shall work in coordination with the MPN Contact and the claims adjuster(s) to ensure timely and appropriate medical treatment is provided to the injured worker.</w:t>
      </w:r>
    </w:p>
    <w:p w:rsidR="00690A80" w:rsidRDefault="00986587" w:rsidP="00E63BAE">
      <w:pPr>
        <w:overflowPunct w:val="0"/>
        <w:adjustRightInd w:val="0"/>
        <w:spacing w:before="240"/>
        <w:ind w:left="720"/>
        <w:textAlignment w:val="baseline"/>
        <w:rPr>
          <w:i/>
          <w:strike w:val="0"/>
        </w:rPr>
      </w:pPr>
      <w:r>
        <w:rPr>
          <w:i/>
          <w:strike w:val="0"/>
        </w:rPr>
        <w:t>The Institute appreciates the clarification that the duties of a medical access assistant</w:t>
      </w:r>
      <w:r w:rsidR="006E131D">
        <w:rPr>
          <w:i/>
          <w:strike w:val="0"/>
        </w:rPr>
        <w:t xml:space="preserve"> do not include authorizing payment</w:t>
      </w:r>
      <w:r w:rsidR="00171154">
        <w:rPr>
          <w:i/>
          <w:strike w:val="0"/>
        </w:rPr>
        <w:t xml:space="preserve"> for </w:t>
      </w:r>
      <w:r w:rsidR="00756CB2">
        <w:rPr>
          <w:i/>
          <w:strike w:val="0"/>
        </w:rPr>
        <w:t>treatment;</w:t>
      </w:r>
      <w:r w:rsidR="00171154">
        <w:rPr>
          <w:i/>
          <w:strike w:val="0"/>
        </w:rPr>
        <w:t xml:space="preserve"> however it should be clear </w:t>
      </w:r>
      <w:r w:rsidR="00756CB2">
        <w:rPr>
          <w:i/>
          <w:strike w:val="0"/>
        </w:rPr>
        <w:t>that an</w:t>
      </w:r>
      <w:r w:rsidR="00171154">
        <w:rPr>
          <w:i/>
          <w:strike w:val="0"/>
        </w:rPr>
        <w:t xml:space="preserve"> </w:t>
      </w:r>
      <w:proofErr w:type="gramStart"/>
      <w:r w:rsidR="00756CB2">
        <w:rPr>
          <w:i/>
          <w:strike w:val="0"/>
        </w:rPr>
        <w:t>adjuster</w:t>
      </w:r>
      <w:proofErr w:type="gramEnd"/>
      <w:r w:rsidR="00171154">
        <w:rPr>
          <w:i/>
          <w:strike w:val="0"/>
        </w:rPr>
        <w:t xml:space="preserve"> who is also acting as a medical access assistant, may do so.</w:t>
      </w:r>
      <w:r w:rsidR="006E131D">
        <w:rPr>
          <w:i/>
          <w:strike w:val="0"/>
        </w:rPr>
        <w:t xml:space="preserve">  </w:t>
      </w:r>
    </w:p>
    <w:p w:rsidR="00A54314" w:rsidRPr="00A54314" w:rsidRDefault="00A54314" w:rsidP="00E63BAE">
      <w:pPr>
        <w:overflowPunct w:val="0"/>
        <w:adjustRightInd w:val="0"/>
        <w:spacing w:before="240"/>
        <w:ind w:left="720"/>
        <w:textAlignment w:val="baseline"/>
        <w:rPr>
          <w:i/>
          <w:strike w:val="0"/>
        </w:rPr>
      </w:pPr>
      <w:r>
        <w:rPr>
          <w:i/>
          <w:strike w:val="0"/>
        </w:rPr>
        <w:t xml:space="preserve">It is not appropriate to mandate </w:t>
      </w:r>
      <w:r w:rsidR="008820DB">
        <w:rPr>
          <w:i/>
          <w:strike w:val="0"/>
        </w:rPr>
        <w:t>workflow</w:t>
      </w:r>
      <w:r w:rsidR="00BE4C5D">
        <w:rPr>
          <w:i/>
          <w:strike w:val="0"/>
        </w:rPr>
        <w:t>,</w:t>
      </w:r>
      <w:r w:rsidR="008820DB">
        <w:rPr>
          <w:i/>
          <w:strike w:val="0"/>
        </w:rPr>
        <w:t xml:space="preserve"> </w:t>
      </w:r>
      <w:r w:rsidR="00BE4C5D">
        <w:rPr>
          <w:i/>
          <w:strike w:val="0"/>
        </w:rPr>
        <w:t xml:space="preserve">coordination or </w:t>
      </w:r>
      <w:r w:rsidR="00A70439">
        <w:rPr>
          <w:i/>
          <w:strike w:val="0"/>
        </w:rPr>
        <w:t>similar</w:t>
      </w:r>
      <w:r w:rsidR="00BE4C5D">
        <w:rPr>
          <w:i/>
          <w:strike w:val="0"/>
        </w:rPr>
        <w:t xml:space="preserve"> </w:t>
      </w:r>
      <w:r w:rsidR="00A70439">
        <w:rPr>
          <w:i/>
          <w:strike w:val="0"/>
        </w:rPr>
        <w:t xml:space="preserve">matters of </w:t>
      </w:r>
      <w:r w:rsidR="00BE4C5D">
        <w:rPr>
          <w:i/>
          <w:strike w:val="0"/>
        </w:rPr>
        <w:t>internal administration</w:t>
      </w:r>
      <w:r w:rsidR="008820DB">
        <w:rPr>
          <w:i/>
          <w:strike w:val="0"/>
        </w:rPr>
        <w:t>.</w:t>
      </w:r>
      <w:r w:rsidR="00661632">
        <w:rPr>
          <w:i/>
          <w:strike w:val="0"/>
        </w:rPr>
        <w:t xml:space="preserve">  </w:t>
      </w:r>
    </w:p>
    <w:p w:rsidR="00C531F1" w:rsidRDefault="00C531F1" w:rsidP="00E63BAE">
      <w:pPr>
        <w:autoSpaceDE/>
        <w:autoSpaceDN/>
        <w:rPr>
          <w:strike w:val="0"/>
          <w:color w:val="000000"/>
        </w:rPr>
      </w:pPr>
    </w:p>
    <w:p w:rsidR="008261A9" w:rsidRPr="00EF29A0" w:rsidRDefault="008261A9" w:rsidP="00E63BAE">
      <w:pPr>
        <w:keepNext/>
        <w:autoSpaceDE/>
        <w:autoSpaceDN/>
        <w:outlineLvl w:val="1"/>
        <w:rPr>
          <w:b/>
          <w:strike w:val="0"/>
        </w:rPr>
      </w:pPr>
    </w:p>
    <w:p w:rsidR="00955181" w:rsidRPr="00EF29A0" w:rsidRDefault="00955181" w:rsidP="00E63BAE">
      <w:pPr>
        <w:overflowPunct w:val="0"/>
        <w:adjustRightInd w:val="0"/>
        <w:textAlignment w:val="baseline"/>
        <w:rPr>
          <w:b/>
          <w:strike w:val="0"/>
        </w:rPr>
      </w:pPr>
      <w:r w:rsidRPr="00EF29A0">
        <w:rPr>
          <w:b/>
          <w:strike w:val="0"/>
        </w:rPr>
        <w:t xml:space="preserve">Section </w:t>
      </w:r>
      <w:proofErr w:type="gramStart"/>
      <w:r w:rsidRPr="00EF29A0">
        <w:rPr>
          <w:b/>
          <w:strike w:val="0"/>
        </w:rPr>
        <w:t>9767.5.1  Physician</w:t>
      </w:r>
      <w:proofErr w:type="gramEnd"/>
      <w:r w:rsidRPr="00EF29A0">
        <w:rPr>
          <w:b/>
          <w:strike w:val="0"/>
        </w:rPr>
        <w:t xml:space="preserve"> Acknowledgements</w:t>
      </w:r>
    </w:p>
    <w:p w:rsidR="00823761" w:rsidRPr="00EF29A0" w:rsidRDefault="00823761" w:rsidP="00E63BAE">
      <w:pPr>
        <w:adjustRightInd w:val="0"/>
        <w:rPr>
          <w:strike w:val="0"/>
          <w:sz w:val="20"/>
          <w:szCs w:val="20"/>
        </w:rPr>
      </w:pPr>
    </w:p>
    <w:p w:rsidR="005618FD" w:rsidRPr="005618FD" w:rsidRDefault="005618FD" w:rsidP="00E77F67">
      <w:pPr>
        <w:overflowPunct w:val="0"/>
        <w:adjustRightInd w:val="0"/>
        <w:rPr>
          <w:strike w:val="0"/>
        </w:rPr>
      </w:pPr>
      <w:r w:rsidRPr="005618FD">
        <w:rPr>
          <w:strike w:val="0"/>
        </w:rPr>
        <w:t xml:space="preserve">(a) Each physician in an MPN, unless the physician is a shareholder, partner, or </w:t>
      </w:r>
      <w:proofErr w:type="spellStart"/>
      <w:r w:rsidRPr="005618FD">
        <w:rPr>
          <w:highlight w:val="yellow"/>
        </w:rPr>
        <w:t>employer</w:t>
      </w:r>
      <w:r w:rsidRPr="005618FD">
        <w:rPr>
          <w:strike w:val="0"/>
          <w:highlight w:val="yellow"/>
          <w:u w:val="single"/>
        </w:rPr>
        <w:t>employee</w:t>
      </w:r>
      <w:proofErr w:type="spellEnd"/>
      <w:r w:rsidRPr="005618FD">
        <w:rPr>
          <w:strike w:val="0"/>
        </w:rPr>
        <w:t xml:space="preserve"> of a medical group that elects to be part of the MPN, shall have a written acknowledgment that the physician elects to participate in a California workers’ compensation medical provider network. The acknowledgment by the physician shall comply with subdivisions (b) and (c). The acknowledgment(s) by the physician shall either specify the MPN or MPNs in which the physician is or will be participating or authorize the agent or designee of a medical group to act on the physician’s behalf to specify the MPN or MPNs in which the physician is or will be participating. If the physician authorizes a medical group’s agent or designee, the specification of MPNs by the medical group’s agent or designee shall comply with subdivision (d). </w:t>
      </w:r>
    </w:p>
    <w:p w:rsidR="005618FD" w:rsidRDefault="005618FD" w:rsidP="005618FD">
      <w:pPr>
        <w:adjustRightInd w:val="0"/>
        <w:rPr>
          <w:strike w:val="0"/>
        </w:rPr>
      </w:pPr>
    </w:p>
    <w:p w:rsidR="00B30724" w:rsidRPr="00B30724" w:rsidRDefault="00B30724" w:rsidP="00B30724">
      <w:pPr>
        <w:adjustRightInd w:val="0"/>
        <w:ind w:left="720"/>
        <w:rPr>
          <w:i/>
          <w:strike w:val="0"/>
        </w:rPr>
      </w:pPr>
      <w:r>
        <w:rPr>
          <w:i/>
          <w:strike w:val="0"/>
        </w:rPr>
        <w:t>The recommended revision will correct a typographical error.</w:t>
      </w:r>
    </w:p>
    <w:p w:rsidR="005618FD" w:rsidRDefault="005618FD" w:rsidP="005618FD">
      <w:pPr>
        <w:adjustRightInd w:val="0"/>
        <w:rPr>
          <w:strike w:val="0"/>
        </w:rPr>
      </w:pPr>
    </w:p>
    <w:p w:rsidR="00555FEA" w:rsidRPr="00555FEA" w:rsidRDefault="00555FEA" w:rsidP="00E77F67">
      <w:pPr>
        <w:overflowPunct w:val="0"/>
        <w:adjustRightInd w:val="0"/>
        <w:rPr>
          <w:strike w:val="0"/>
        </w:rPr>
      </w:pPr>
      <w:r w:rsidRPr="00555FEA">
        <w:rPr>
          <w:strike w:val="0"/>
        </w:rPr>
        <w:t xml:space="preserve">(d) A single written group acknowledgment may be submitted for a medical group participating in an MPN by the medical group’s agent or designee on behalf of MPN participating physicians in the medical group </w:t>
      </w:r>
      <w:r w:rsidRPr="00555FEA">
        <w:rPr>
          <w:highlight w:val="yellow"/>
        </w:rPr>
        <w:t>who are shareholders, partners, or employees of the medical group or who have executed individual acknowledgments in accordance with subdivisions (a) and (b)</w:t>
      </w:r>
      <w:r w:rsidRPr="00555FEA">
        <w:rPr>
          <w:strike w:val="0"/>
        </w:rPr>
        <w:t xml:space="preserve">.  Each medical group acknowledgment shall include a list of all physicians in the medical group and shall affirm that each physician listed has agreed to participate in the MPN.  When a physician listed on the group acknowledgment is no longer participating in the MPN or when new members join the medical group, </w:t>
      </w:r>
      <w:proofErr w:type="gramStart"/>
      <w:r w:rsidRPr="00555FEA">
        <w:rPr>
          <w:strike w:val="0"/>
        </w:rPr>
        <w:t>then</w:t>
      </w:r>
      <w:proofErr w:type="gramEnd"/>
      <w:r w:rsidRPr="00555FEA">
        <w:rPr>
          <w:strike w:val="0"/>
        </w:rPr>
        <w:t xml:space="preserve"> the medical group acknowledgment shall be updated with a new master list of MPN participating physicians in the medical group.    This amendment shall be submitted to the MPN within thirty days of the effective date of the change.  The medical group’s agent or designee shall affirm that each listed physician in the updated list is participating in the MPN or MPNs as indicated on the list.  The acknowledgment must clearly specify the time frame of the acknowledgment, which may continue for as long as the medical group’s MPN contract is effective.  A new acknowledgment shall be submitted with a new or renewed MPN contract.  Electronic signatures in compliance with California Government Code section 16.5 are acceptable. </w:t>
      </w:r>
    </w:p>
    <w:p w:rsidR="00555FEA" w:rsidRDefault="00555FEA" w:rsidP="005618FD">
      <w:pPr>
        <w:adjustRightInd w:val="0"/>
        <w:rPr>
          <w:strike w:val="0"/>
          <w:highlight w:val="cyan"/>
        </w:rPr>
      </w:pPr>
    </w:p>
    <w:p w:rsidR="0022175E" w:rsidRDefault="00823761" w:rsidP="00E63BAE">
      <w:pPr>
        <w:autoSpaceDE/>
        <w:autoSpaceDN/>
        <w:adjustRightInd w:val="0"/>
        <w:ind w:left="360"/>
        <w:rPr>
          <w:i/>
          <w:strike w:val="0"/>
        </w:rPr>
      </w:pPr>
      <w:r w:rsidRPr="00E65902">
        <w:rPr>
          <w:i/>
          <w:strike w:val="0"/>
        </w:rPr>
        <w:t>4616(a</w:t>
      </w:r>
      <w:proofErr w:type="gramStart"/>
      <w:r w:rsidRPr="00E65902">
        <w:rPr>
          <w:i/>
          <w:strike w:val="0"/>
        </w:rPr>
        <w:t>)(</w:t>
      </w:r>
      <w:proofErr w:type="gramEnd"/>
      <w:r w:rsidRPr="00E65902">
        <w:rPr>
          <w:i/>
          <w:strike w:val="0"/>
        </w:rPr>
        <w:t>3) contains a provision that the acknowledgement form may be signed by an authorized employee of the physician or the physician’s office.  Th</w:t>
      </w:r>
      <w:r w:rsidR="006840BF">
        <w:rPr>
          <w:i/>
          <w:strike w:val="0"/>
        </w:rPr>
        <w:t>e</w:t>
      </w:r>
      <w:r w:rsidRPr="00E65902">
        <w:rPr>
          <w:i/>
          <w:strike w:val="0"/>
        </w:rPr>
        <w:t xml:space="preserve"> section </w:t>
      </w:r>
      <w:r w:rsidR="003E19DD">
        <w:rPr>
          <w:i/>
          <w:strike w:val="0"/>
        </w:rPr>
        <w:t>refers</w:t>
      </w:r>
      <w:r w:rsidR="006840BF">
        <w:rPr>
          <w:i/>
          <w:strike w:val="0"/>
        </w:rPr>
        <w:t xml:space="preserve"> to</w:t>
      </w:r>
      <w:r w:rsidR="003E19DD">
        <w:rPr>
          <w:i/>
          <w:strike w:val="0"/>
        </w:rPr>
        <w:t xml:space="preserve"> </w:t>
      </w:r>
      <w:r w:rsidR="006840BF">
        <w:rPr>
          <w:i/>
          <w:strike w:val="0"/>
        </w:rPr>
        <w:t>“</w:t>
      </w:r>
      <w:r w:rsidR="006840BF" w:rsidRPr="00E65902">
        <w:rPr>
          <w:i/>
          <w:strike w:val="0"/>
        </w:rPr>
        <w:t xml:space="preserve">a </w:t>
      </w:r>
      <w:r w:rsidR="006840BF" w:rsidRPr="00E65902">
        <w:rPr>
          <w:i/>
          <w:strike w:val="0"/>
        </w:rPr>
        <w:lastRenderedPageBreak/>
        <w:t xml:space="preserve">medical group </w:t>
      </w:r>
      <w:r w:rsidR="006840BF" w:rsidRPr="003E19DD">
        <w:rPr>
          <w:i/>
          <w:strike w:val="0"/>
        </w:rPr>
        <w:t>that elects to be part of the network</w:t>
      </w:r>
      <w:r w:rsidR="006840BF">
        <w:rPr>
          <w:i/>
          <w:strike w:val="0"/>
        </w:rPr>
        <w:t>” which indicates that a medical group</w:t>
      </w:r>
      <w:r w:rsidR="006840BF" w:rsidRPr="00E65902">
        <w:rPr>
          <w:i/>
          <w:strike w:val="0"/>
        </w:rPr>
        <w:t xml:space="preserve"> as a whole </w:t>
      </w:r>
      <w:r w:rsidR="006840BF">
        <w:rPr>
          <w:i/>
          <w:strike w:val="0"/>
        </w:rPr>
        <w:t>may participate</w:t>
      </w:r>
      <w:r w:rsidR="006840BF" w:rsidRPr="00E65902">
        <w:rPr>
          <w:i/>
          <w:strike w:val="0"/>
        </w:rPr>
        <w:t xml:space="preserve"> in </w:t>
      </w:r>
      <w:r w:rsidR="006840BF">
        <w:rPr>
          <w:i/>
          <w:strike w:val="0"/>
        </w:rPr>
        <w:t>an</w:t>
      </w:r>
      <w:r w:rsidR="006840BF" w:rsidRPr="00E65902">
        <w:rPr>
          <w:i/>
          <w:strike w:val="0"/>
        </w:rPr>
        <w:t xml:space="preserve"> MPN</w:t>
      </w:r>
      <w:r w:rsidR="001445B2">
        <w:rPr>
          <w:i/>
          <w:strike w:val="0"/>
        </w:rPr>
        <w:t xml:space="preserve">. </w:t>
      </w:r>
      <w:r w:rsidRPr="00E65902">
        <w:rPr>
          <w:i/>
          <w:strike w:val="0"/>
        </w:rPr>
        <w:t xml:space="preserve"> </w:t>
      </w:r>
    </w:p>
    <w:p w:rsidR="00A72B05" w:rsidRDefault="00A72B05" w:rsidP="00E63BAE">
      <w:pPr>
        <w:autoSpaceDE/>
        <w:autoSpaceDN/>
        <w:adjustRightInd w:val="0"/>
        <w:ind w:left="360"/>
        <w:rPr>
          <w:i/>
          <w:strike w:val="0"/>
        </w:rPr>
      </w:pPr>
    </w:p>
    <w:p w:rsidR="00666F5C" w:rsidRDefault="00823761" w:rsidP="00E63BAE">
      <w:pPr>
        <w:autoSpaceDE/>
        <w:autoSpaceDN/>
        <w:adjustRightInd w:val="0"/>
        <w:ind w:left="360"/>
        <w:rPr>
          <w:i/>
          <w:strike w:val="0"/>
        </w:rPr>
      </w:pPr>
      <w:r w:rsidRPr="00E65902">
        <w:rPr>
          <w:i/>
          <w:strike w:val="0"/>
        </w:rPr>
        <w:t xml:space="preserve">The requirement in 9767.5.1(d) conflicts with </w:t>
      </w:r>
      <w:r w:rsidR="0022175E">
        <w:rPr>
          <w:i/>
          <w:strike w:val="0"/>
        </w:rPr>
        <w:t>the statute</w:t>
      </w:r>
      <w:r w:rsidRPr="00E65902">
        <w:rPr>
          <w:i/>
          <w:strike w:val="0"/>
        </w:rPr>
        <w:t xml:space="preserve"> by </w:t>
      </w:r>
      <w:r w:rsidR="00E53693">
        <w:rPr>
          <w:i/>
          <w:strike w:val="0"/>
        </w:rPr>
        <w:t>limiting group acknowledgement to physicians in the medical group who have executed individual acknowledgements</w:t>
      </w:r>
      <w:r w:rsidRPr="00E65902">
        <w:rPr>
          <w:i/>
          <w:strike w:val="0"/>
        </w:rPr>
        <w:t xml:space="preserve"> </w:t>
      </w:r>
      <w:r w:rsidR="004337FE">
        <w:rPr>
          <w:i/>
          <w:strike w:val="0"/>
        </w:rPr>
        <w:t xml:space="preserve">or who are </w:t>
      </w:r>
      <w:r w:rsidR="004337FE" w:rsidRPr="004337FE">
        <w:rPr>
          <w:i/>
          <w:strike w:val="0"/>
        </w:rPr>
        <w:t>shareholders, partners, or employees of the medical group</w:t>
      </w:r>
      <w:r w:rsidR="004337FE">
        <w:rPr>
          <w:i/>
          <w:strike w:val="0"/>
        </w:rPr>
        <w:t xml:space="preserve">. </w:t>
      </w:r>
      <w:r w:rsidR="004337FE" w:rsidRPr="004337FE">
        <w:rPr>
          <w:i/>
          <w:strike w:val="0"/>
        </w:rPr>
        <w:t xml:space="preserve"> </w:t>
      </w:r>
      <w:r w:rsidRPr="00E65902">
        <w:rPr>
          <w:i/>
          <w:strike w:val="0"/>
        </w:rPr>
        <w:t xml:space="preserve"> The </w:t>
      </w:r>
      <w:r w:rsidR="0022175E">
        <w:rPr>
          <w:i/>
          <w:strike w:val="0"/>
        </w:rPr>
        <w:t xml:space="preserve">requirement </w:t>
      </w:r>
      <w:r w:rsidRPr="00E65902">
        <w:rPr>
          <w:i/>
          <w:strike w:val="0"/>
        </w:rPr>
        <w:t xml:space="preserve">that each physician signs an acknowledgement for the medical group </w:t>
      </w:r>
      <w:r w:rsidR="0022175E">
        <w:rPr>
          <w:i/>
          <w:strike w:val="0"/>
        </w:rPr>
        <w:t xml:space="preserve">is a limitation that is </w:t>
      </w:r>
      <w:r w:rsidR="00A72B05" w:rsidRPr="00E65902">
        <w:rPr>
          <w:i/>
          <w:strike w:val="0"/>
        </w:rPr>
        <w:t>administratively</w:t>
      </w:r>
      <w:r w:rsidR="00A72B05">
        <w:rPr>
          <w:i/>
          <w:strike w:val="0"/>
        </w:rPr>
        <w:t xml:space="preserve"> </w:t>
      </w:r>
      <w:r w:rsidR="00CC6412" w:rsidRPr="00E65902">
        <w:rPr>
          <w:i/>
          <w:strike w:val="0"/>
        </w:rPr>
        <w:t>burdensome</w:t>
      </w:r>
      <w:r w:rsidR="00CC6412">
        <w:rPr>
          <w:i/>
          <w:strike w:val="0"/>
        </w:rPr>
        <w:t xml:space="preserve"> and</w:t>
      </w:r>
      <w:r w:rsidR="00330165">
        <w:rPr>
          <w:i/>
          <w:strike w:val="0"/>
        </w:rPr>
        <w:t xml:space="preserve"> </w:t>
      </w:r>
      <w:r w:rsidR="0022175E">
        <w:rPr>
          <w:i/>
          <w:strike w:val="0"/>
        </w:rPr>
        <w:t>not contained in the enabling statute</w:t>
      </w:r>
      <w:r w:rsidRPr="00E65902">
        <w:rPr>
          <w:i/>
          <w:strike w:val="0"/>
        </w:rPr>
        <w:t xml:space="preserve">.  </w:t>
      </w:r>
      <w:r w:rsidR="004337FE">
        <w:rPr>
          <w:i/>
          <w:strike w:val="0"/>
        </w:rPr>
        <w:t>Under</w:t>
      </w:r>
      <w:r w:rsidR="00F85370">
        <w:rPr>
          <w:i/>
          <w:strike w:val="0"/>
        </w:rPr>
        <w:t xml:space="preserve"> 4616(a</w:t>
      </w:r>
      <w:proofErr w:type="gramStart"/>
      <w:r w:rsidR="00F85370">
        <w:rPr>
          <w:i/>
          <w:strike w:val="0"/>
        </w:rPr>
        <w:t>)(</w:t>
      </w:r>
      <w:proofErr w:type="gramEnd"/>
      <w:r w:rsidR="00F85370">
        <w:rPr>
          <w:i/>
          <w:strike w:val="0"/>
        </w:rPr>
        <w:t>3)</w:t>
      </w:r>
      <w:r w:rsidR="004337FE">
        <w:rPr>
          <w:i/>
          <w:strike w:val="0"/>
        </w:rPr>
        <w:t>,</w:t>
      </w:r>
      <w:r w:rsidR="00F85370">
        <w:rPr>
          <w:i/>
          <w:strike w:val="0"/>
        </w:rPr>
        <w:t xml:space="preserve"> if</w:t>
      </w:r>
      <w:r w:rsidRPr="00E65902">
        <w:rPr>
          <w:i/>
          <w:strike w:val="0"/>
        </w:rPr>
        <w:t xml:space="preserve"> the medical group acknowledges participation and the MPN lists the medical group as a whole in the network, that is all that is required.  If the MPN selects only specific providers from a medical group, then each provider would be required to sign a separate acknowledgement.  </w:t>
      </w:r>
    </w:p>
    <w:p w:rsidR="00823761" w:rsidRPr="00EF29A0" w:rsidRDefault="00823761" w:rsidP="00E63BAE">
      <w:pPr>
        <w:overflowPunct w:val="0"/>
        <w:adjustRightInd w:val="0"/>
        <w:textAlignment w:val="baseline"/>
        <w:rPr>
          <w:strike w:val="0"/>
          <w:highlight w:val="yellow"/>
          <w:u w:val="single"/>
        </w:rPr>
      </w:pPr>
    </w:p>
    <w:p w:rsidR="008261A9" w:rsidRDefault="008261A9" w:rsidP="00E63BAE">
      <w:pPr>
        <w:overflowPunct w:val="0"/>
        <w:adjustRightInd w:val="0"/>
        <w:ind w:right="-180"/>
        <w:textAlignment w:val="baseline"/>
        <w:rPr>
          <w:strike w:val="0"/>
        </w:rPr>
      </w:pPr>
    </w:p>
    <w:p w:rsidR="00840F3B" w:rsidRPr="00840F3B" w:rsidRDefault="00840F3B" w:rsidP="00840F3B">
      <w:pPr>
        <w:overflowPunct w:val="0"/>
        <w:adjustRightInd w:val="0"/>
        <w:jc w:val="both"/>
        <w:rPr>
          <w:b/>
          <w:strike w:val="0"/>
        </w:rPr>
      </w:pPr>
      <w:r w:rsidRPr="00840F3B">
        <w:rPr>
          <w:b/>
          <w:strike w:val="0"/>
        </w:rPr>
        <w:t xml:space="preserve">Section </w:t>
      </w:r>
      <w:proofErr w:type="gramStart"/>
      <w:r w:rsidRPr="00840F3B">
        <w:rPr>
          <w:b/>
          <w:strike w:val="0"/>
        </w:rPr>
        <w:t>9767.8  Modification</w:t>
      </w:r>
      <w:proofErr w:type="gramEnd"/>
      <w:r w:rsidRPr="00840F3B">
        <w:rPr>
          <w:b/>
          <w:strike w:val="0"/>
        </w:rPr>
        <w:t xml:space="preserve"> of Medical Provider Network Plan </w:t>
      </w:r>
    </w:p>
    <w:p w:rsidR="00840F3B" w:rsidRPr="00840F3B" w:rsidRDefault="00840F3B" w:rsidP="00840F3B">
      <w:pPr>
        <w:overflowPunct w:val="0"/>
        <w:adjustRightInd w:val="0"/>
        <w:jc w:val="both"/>
        <w:rPr>
          <w:b/>
          <w:strike w:val="0"/>
        </w:rPr>
      </w:pPr>
    </w:p>
    <w:p w:rsidR="00840F3B" w:rsidRDefault="00840F3B" w:rsidP="00E63BAE">
      <w:pPr>
        <w:overflowPunct w:val="0"/>
        <w:adjustRightInd w:val="0"/>
        <w:ind w:right="-180"/>
        <w:textAlignment w:val="baseline"/>
        <w:rPr>
          <w:strike w:val="0"/>
        </w:rPr>
      </w:pPr>
      <w:r>
        <w:rPr>
          <w:strike w:val="0"/>
        </w:rPr>
        <w:t xml:space="preserve">Section (a) </w:t>
      </w:r>
      <w:r w:rsidR="003D2D17">
        <w:rPr>
          <w:strike w:val="0"/>
        </w:rPr>
        <w:t>needs to be renumbered as it is missing (8) and (9).  The section should be (a</w:t>
      </w:r>
      <w:proofErr w:type="gramStart"/>
      <w:r w:rsidR="003D2D17">
        <w:rPr>
          <w:strike w:val="0"/>
        </w:rPr>
        <w:t>)(</w:t>
      </w:r>
      <w:proofErr w:type="gramEnd"/>
      <w:r w:rsidR="003D2D17">
        <w:rPr>
          <w:strike w:val="0"/>
        </w:rPr>
        <w:t>1) through (a)(13).</w:t>
      </w:r>
    </w:p>
    <w:p w:rsidR="00840F3B" w:rsidRDefault="00840F3B" w:rsidP="00E63BAE">
      <w:pPr>
        <w:overflowPunct w:val="0"/>
        <w:adjustRightInd w:val="0"/>
        <w:ind w:right="-180"/>
        <w:textAlignment w:val="baseline"/>
        <w:rPr>
          <w:strike w:val="0"/>
        </w:rPr>
      </w:pPr>
    </w:p>
    <w:p w:rsidR="00840F3B" w:rsidRPr="00EF29A0" w:rsidRDefault="00840F3B" w:rsidP="00E63BAE">
      <w:pPr>
        <w:overflowPunct w:val="0"/>
        <w:adjustRightInd w:val="0"/>
        <w:ind w:right="-180"/>
        <w:textAlignment w:val="baseline"/>
        <w:rPr>
          <w:strike w:val="0"/>
        </w:rPr>
      </w:pPr>
    </w:p>
    <w:p w:rsidR="008261A9" w:rsidRPr="00EF29A0" w:rsidRDefault="008261A9" w:rsidP="00E63BAE">
      <w:pPr>
        <w:overflowPunct w:val="0"/>
        <w:adjustRightInd w:val="0"/>
        <w:textAlignment w:val="baseline"/>
        <w:rPr>
          <w:b/>
          <w:strike w:val="0"/>
        </w:rPr>
      </w:pPr>
      <w:r w:rsidRPr="00EF29A0">
        <w:rPr>
          <w:b/>
          <w:strike w:val="0"/>
        </w:rPr>
        <w:t xml:space="preserve">Section </w:t>
      </w:r>
      <w:proofErr w:type="gramStart"/>
      <w:r w:rsidRPr="00EF29A0">
        <w:rPr>
          <w:b/>
          <w:strike w:val="0"/>
        </w:rPr>
        <w:t>9767.12  Employee</w:t>
      </w:r>
      <w:proofErr w:type="gramEnd"/>
      <w:r w:rsidRPr="00EF29A0">
        <w:rPr>
          <w:b/>
          <w:strike w:val="0"/>
        </w:rPr>
        <w:t xml:space="preserve"> Notification.</w:t>
      </w:r>
    </w:p>
    <w:p w:rsidR="00482CA0" w:rsidRDefault="00482CA0" w:rsidP="00E63BAE">
      <w:pPr>
        <w:overflowPunct w:val="0"/>
        <w:adjustRightInd w:val="0"/>
        <w:textAlignment w:val="baseline"/>
        <w:rPr>
          <w:strike w:val="0"/>
        </w:rPr>
      </w:pPr>
    </w:p>
    <w:p w:rsidR="00482CA0" w:rsidRPr="00482CA0" w:rsidRDefault="00CF60AD" w:rsidP="00482CA0">
      <w:pPr>
        <w:autoSpaceDE/>
        <w:rPr>
          <w:strike w:val="0"/>
          <w:color w:val="000000"/>
        </w:rPr>
      </w:pPr>
      <w:r>
        <w:rPr>
          <w:strike w:val="0"/>
          <w:color w:val="000000"/>
        </w:rPr>
        <w:t xml:space="preserve">(a) </w:t>
      </w:r>
      <w:r w:rsidR="00482CA0" w:rsidRPr="00482CA0">
        <w:rPr>
          <w:strike w:val="0"/>
          <w:color w:val="000000"/>
        </w:rPr>
        <w:t xml:space="preserve">When an injury is reported or an employer has knowledge of an injury </w:t>
      </w:r>
      <w:r w:rsidR="0056352A" w:rsidRPr="0056352A">
        <w:rPr>
          <w:strike w:val="0"/>
          <w:color w:val="000000"/>
          <w:highlight w:val="yellow"/>
          <w:u w:val="single"/>
        </w:rPr>
        <w:t>that is subject to an MPN</w:t>
      </w:r>
      <w:r w:rsidR="0056352A">
        <w:rPr>
          <w:strike w:val="0"/>
          <w:color w:val="000000"/>
          <w:u w:val="single"/>
        </w:rPr>
        <w:t xml:space="preserve"> </w:t>
      </w:r>
      <w:r w:rsidR="00482CA0" w:rsidRPr="00482CA0">
        <w:rPr>
          <w:strike w:val="0"/>
          <w:color w:val="000000"/>
        </w:rPr>
        <w:t xml:space="preserve">or </w:t>
      </w:r>
      <w:r w:rsidR="00482CA0" w:rsidRPr="00482CA0">
        <w:rPr>
          <w:strike w:val="0"/>
        </w:rPr>
        <w:t xml:space="preserve">when an employee with an existing injury is required to transfer treatment to an MPN, </w:t>
      </w:r>
      <w:r w:rsidR="00482CA0" w:rsidRPr="00482CA0">
        <w:rPr>
          <w:strike w:val="0"/>
          <w:color w:val="000000"/>
        </w:rPr>
        <w:t xml:space="preserve">a complete written MPN employee notification with the information specified in paragraph (2) of this subdivision, shall be provided to the covered employee by the employer or the </w:t>
      </w:r>
      <w:r w:rsidR="00482CA0" w:rsidRPr="00482CA0">
        <w:rPr>
          <w:color w:val="000000"/>
          <w:highlight w:val="yellow"/>
        </w:rPr>
        <w:t xml:space="preserve">insurer for the </w:t>
      </w:r>
      <w:proofErr w:type="spellStart"/>
      <w:r w:rsidR="00482CA0" w:rsidRPr="00482CA0">
        <w:rPr>
          <w:color w:val="000000"/>
          <w:highlight w:val="yellow"/>
        </w:rPr>
        <w:t>employer</w:t>
      </w:r>
      <w:r w:rsidR="00161F9F" w:rsidRPr="00161F9F">
        <w:rPr>
          <w:strike w:val="0"/>
          <w:color w:val="000000"/>
          <w:highlight w:val="yellow"/>
          <w:u w:val="single"/>
        </w:rPr>
        <w:t>claims</w:t>
      </w:r>
      <w:proofErr w:type="spellEnd"/>
      <w:r w:rsidR="00161F9F" w:rsidRPr="00161F9F">
        <w:rPr>
          <w:strike w:val="0"/>
          <w:color w:val="000000"/>
          <w:highlight w:val="yellow"/>
          <w:u w:val="single"/>
        </w:rPr>
        <w:t xml:space="preserve"> administrator</w:t>
      </w:r>
      <w:r w:rsidR="00482CA0" w:rsidRPr="00482CA0">
        <w:rPr>
          <w:strike w:val="0"/>
          <w:color w:val="000000"/>
        </w:rPr>
        <w:t xml:space="preserve">.  This MPN notification shall be provided to employees in English and also in Spanish if the employee </w:t>
      </w:r>
      <w:r w:rsidR="009E40DF" w:rsidRPr="00EF29A0">
        <w:rPr>
          <w:highlight w:val="yellow"/>
          <w:u w:val="single"/>
        </w:rPr>
        <w:t>primarily</w:t>
      </w:r>
      <w:r w:rsidR="009E40DF" w:rsidRPr="00EF29A0">
        <w:rPr>
          <w:strike w:val="0"/>
        </w:rPr>
        <w:t xml:space="preserve"> speaks Spanish</w:t>
      </w:r>
      <w:r w:rsidR="009E40DF" w:rsidRPr="00EF29A0">
        <w:rPr>
          <w:strike w:val="0"/>
          <w:u w:val="single"/>
        </w:rPr>
        <w:t xml:space="preserve"> </w:t>
      </w:r>
      <w:r w:rsidR="009E40DF">
        <w:rPr>
          <w:strike w:val="0"/>
          <w:highlight w:val="yellow"/>
          <w:u w:val="single"/>
        </w:rPr>
        <w:t>and</w:t>
      </w:r>
      <w:r w:rsidR="009E40DF" w:rsidRPr="00EF29A0">
        <w:rPr>
          <w:strike w:val="0"/>
          <w:highlight w:val="yellow"/>
          <w:u w:val="single"/>
        </w:rPr>
        <w:t xml:space="preserve"> does not proficiently speak or understand the English language</w:t>
      </w:r>
      <w:r w:rsidR="009E40DF" w:rsidRPr="00EF29A0">
        <w:rPr>
          <w:strike w:val="0"/>
        </w:rPr>
        <w:t>.</w:t>
      </w:r>
      <w:r w:rsidR="00482CA0" w:rsidRPr="00482CA0">
        <w:rPr>
          <w:strike w:val="0"/>
          <w:color w:val="000000"/>
        </w:rPr>
        <w:t xml:space="preserve"> </w:t>
      </w:r>
    </w:p>
    <w:p w:rsidR="008261A9" w:rsidRPr="00EF29A0" w:rsidRDefault="008261A9" w:rsidP="00E63BAE">
      <w:pPr>
        <w:overflowPunct w:val="0"/>
        <w:adjustRightInd w:val="0"/>
        <w:textAlignment w:val="baseline"/>
        <w:rPr>
          <w:strike w:val="0"/>
        </w:rPr>
      </w:pPr>
    </w:p>
    <w:p w:rsidR="002C6AC9" w:rsidRDefault="0056352A" w:rsidP="00E63BAE">
      <w:pPr>
        <w:overflowPunct w:val="0"/>
        <w:adjustRightInd w:val="0"/>
        <w:ind w:left="720"/>
        <w:textAlignment w:val="baseline"/>
        <w:rPr>
          <w:i/>
          <w:strike w:val="0"/>
        </w:rPr>
      </w:pPr>
      <w:r>
        <w:rPr>
          <w:i/>
          <w:strike w:val="0"/>
        </w:rPr>
        <w:t>The first recommended modification will clarify that the injury</w:t>
      </w:r>
      <w:r w:rsidR="002C6AC9">
        <w:rPr>
          <w:i/>
          <w:strike w:val="0"/>
        </w:rPr>
        <w:t xml:space="preserve"> is subject to an MPN.</w:t>
      </w:r>
    </w:p>
    <w:p w:rsidR="002C6AC9" w:rsidRDefault="002C6AC9" w:rsidP="00E63BAE">
      <w:pPr>
        <w:overflowPunct w:val="0"/>
        <w:adjustRightInd w:val="0"/>
        <w:ind w:left="720"/>
        <w:textAlignment w:val="baseline"/>
        <w:rPr>
          <w:i/>
          <w:strike w:val="0"/>
        </w:rPr>
      </w:pPr>
    </w:p>
    <w:p w:rsidR="00420C04" w:rsidRDefault="00420C04" w:rsidP="00E63BAE">
      <w:pPr>
        <w:overflowPunct w:val="0"/>
        <w:adjustRightInd w:val="0"/>
        <w:ind w:left="720"/>
        <w:textAlignment w:val="baseline"/>
        <w:rPr>
          <w:i/>
          <w:strike w:val="0"/>
        </w:rPr>
      </w:pPr>
      <w:r>
        <w:rPr>
          <w:i/>
          <w:strike w:val="0"/>
        </w:rPr>
        <w:t>The claims administrator</w:t>
      </w:r>
      <w:r w:rsidR="00B019E8">
        <w:rPr>
          <w:i/>
          <w:strike w:val="0"/>
        </w:rPr>
        <w:t xml:space="preserve"> (the entity adjusting the claim)</w:t>
      </w:r>
      <w:r>
        <w:rPr>
          <w:i/>
          <w:strike w:val="0"/>
        </w:rPr>
        <w:t xml:space="preserve"> may also provide the notification.</w:t>
      </w:r>
    </w:p>
    <w:p w:rsidR="00420C04" w:rsidRPr="006C0183" w:rsidRDefault="00420C04" w:rsidP="00E63BAE">
      <w:pPr>
        <w:overflowPunct w:val="0"/>
        <w:adjustRightInd w:val="0"/>
        <w:ind w:left="720"/>
        <w:textAlignment w:val="baseline"/>
        <w:rPr>
          <w:i/>
          <w:strike w:val="0"/>
        </w:rPr>
      </w:pPr>
    </w:p>
    <w:p w:rsidR="008261A9" w:rsidRPr="00EF29A0" w:rsidRDefault="008261A9" w:rsidP="00E63BAE">
      <w:pPr>
        <w:overflowPunct w:val="0"/>
        <w:adjustRightInd w:val="0"/>
        <w:ind w:left="720"/>
        <w:textAlignment w:val="baseline"/>
        <w:rPr>
          <w:i/>
          <w:strike w:val="0"/>
        </w:rPr>
      </w:pPr>
      <w:r w:rsidRPr="00EF29A0">
        <w:rPr>
          <w:i/>
          <w:strike w:val="0"/>
        </w:rPr>
        <w:t>The notice in Spanish is only necessary if the employee</w:t>
      </w:r>
      <w:r w:rsidRPr="00EF29A0">
        <w:rPr>
          <w:strike w:val="0"/>
        </w:rPr>
        <w:t xml:space="preserve"> </w:t>
      </w:r>
      <w:r w:rsidRPr="00EF29A0">
        <w:rPr>
          <w:i/>
          <w:strike w:val="0"/>
        </w:rPr>
        <w:t>does not proficiently speak or understand the English language.</w:t>
      </w:r>
      <w:r w:rsidR="009E40DF">
        <w:rPr>
          <w:i/>
          <w:strike w:val="0"/>
        </w:rPr>
        <w:t xml:space="preserve">  There is no necessity to provide a notice in Spanish if the employee proficiently speaks and understands English</w:t>
      </w:r>
      <w:r w:rsidR="00B019E8">
        <w:rPr>
          <w:i/>
          <w:strike w:val="0"/>
        </w:rPr>
        <w:t>, even if the employee primarily speaks Spanish</w:t>
      </w:r>
      <w:r w:rsidR="009E40DF">
        <w:rPr>
          <w:i/>
          <w:strike w:val="0"/>
        </w:rPr>
        <w:t>.</w:t>
      </w:r>
    </w:p>
    <w:p w:rsidR="008261A9" w:rsidRPr="00EF29A0" w:rsidRDefault="008261A9" w:rsidP="00E63BAE">
      <w:pPr>
        <w:overflowPunct w:val="0"/>
        <w:adjustRightInd w:val="0"/>
        <w:textAlignment w:val="baseline"/>
        <w:rPr>
          <w:strike w:val="0"/>
        </w:rPr>
      </w:pPr>
    </w:p>
    <w:p w:rsidR="00ED7BCA" w:rsidRPr="00ED7BCA" w:rsidRDefault="00ED7BCA" w:rsidP="00ED7BCA">
      <w:pPr>
        <w:autoSpaceDE/>
        <w:autoSpaceDN/>
        <w:rPr>
          <w:strike w:val="0"/>
          <w:color w:val="000000"/>
        </w:rPr>
      </w:pPr>
      <w:r w:rsidRPr="00ED7BCA">
        <w:rPr>
          <w:strike w:val="0"/>
          <w:color w:val="000000"/>
        </w:rPr>
        <w:t xml:space="preserve">(a)(1) A complete MPN notification </w:t>
      </w:r>
      <w:r w:rsidRPr="00ED7BCA">
        <w:rPr>
          <w:strike w:val="0"/>
        </w:rPr>
        <w:t>with the information specified in paragraph (2) of this subdivision</w:t>
      </w:r>
      <w:r w:rsidRPr="00ED7BCA">
        <w:rPr>
          <w:strike w:val="0"/>
          <w:color w:val="000000"/>
        </w:rPr>
        <w:t xml:space="preserve"> may be sent electronically </w:t>
      </w:r>
      <w:r w:rsidRPr="00353F8D">
        <w:rPr>
          <w:color w:val="000000"/>
          <w:highlight w:val="yellow"/>
        </w:rPr>
        <w:t>in lieu of by mail,</w:t>
      </w:r>
      <w:r w:rsidRPr="00ED7BCA">
        <w:rPr>
          <w:strike w:val="0"/>
          <w:color w:val="000000"/>
        </w:rPr>
        <w:t xml:space="preserve"> if the covered employee has regular electronic access to email at work to receive this notice at the time of injury or when the employee is being transferred into the MPN. If the employee cannot receive this notice electronically at work, then the employer shall ensure this information is provided to the employee in writing at the time of injury or when the employee is being transferred into the MPN.</w:t>
      </w:r>
    </w:p>
    <w:p w:rsidR="00ED7BCA" w:rsidRDefault="00ED7BCA" w:rsidP="00ED7BCA">
      <w:pPr>
        <w:autoSpaceDE/>
        <w:autoSpaceDN/>
        <w:rPr>
          <w:strike w:val="0"/>
          <w:color w:val="000000"/>
        </w:rPr>
      </w:pPr>
      <w:bookmarkStart w:id="8" w:name="I31324070CF0111E2A3BEAE4168993EE1"/>
      <w:bookmarkStart w:id="9" w:name="I31324071CF0111E2A3BEAE4168993EE1"/>
      <w:bookmarkEnd w:id="8"/>
      <w:bookmarkEnd w:id="9"/>
    </w:p>
    <w:p w:rsidR="00ED7BCA" w:rsidRDefault="00353F8D" w:rsidP="00353F8D">
      <w:pPr>
        <w:autoSpaceDE/>
        <w:autoSpaceDN/>
        <w:ind w:left="720"/>
        <w:rPr>
          <w:strike w:val="0"/>
          <w:color w:val="000000"/>
        </w:rPr>
      </w:pPr>
      <w:r>
        <w:rPr>
          <w:i/>
          <w:strike w:val="0"/>
        </w:rPr>
        <w:lastRenderedPageBreak/>
        <w:t>This phrase is not necessary.</w:t>
      </w:r>
    </w:p>
    <w:p w:rsidR="00ED7BCA" w:rsidRPr="00ED7BCA" w:rsidRDefault="00ED7BCA" w:rsidP="00ED7BCA">
      <w:pPr>
        <w:autoSpaceDE/>
        <w:autoSpaceDN/>
        <w:rPr>
          <w:strike w:val="0"/>
          <w:color w:val="000000"/>
        </w:rPr>
      </w:pPr>
    </w:p>
    <w:p w:rsidR="00ED7BCA" w:rsidRDefault="00ED7BCA" w:rsidP="00ED7BCA">
      <w:pPr>
        <w:autoSpaceDE/>
        <w:autoSpaceDN/>
        <w:rPr>
          <w:strike w:val="0"/>
          <w:color w:val="000000"/>
        </w:rPr>
      </w:pPr>
      <w:r w:rsidRPr="00ED7BCA">
        <w:rPr>
          <w:strike w:val="0"/>
          <w:color w:val="000000"/>
        </w:rPr>
        <w:t>(a)(2)(A) How to contact the person designated by MPN applicant to be the MPN Contact for covered employees to answer questions about the use of MPNs and to address MPN complaints. The employer or insurer shall provide a toll-free telephone number with access to the MPN Contact if the MPN geographic</w:t>
      </w:r>
      <w:r w:rsidRPr="00ED7BCA">
        <w:rPr>
          <w:color w:val="000000"/>
        </w:rPr>
        <w:t xml:space="preserve">al </w:t>
      </w:r>
      <w:r w:rsidRPr="00ED7BCA">
        <w:rPr>
          <w:strike w:val="0"/>
          <w:color w:val="000000"/>
        </w:rPr>
        <w:t xml:space="preserve">service area includes more than one area code. </w:t>
      </w:r>
      <w:r w:rsidRPr="00ED7BCA">
        <w:rPr>
          <w:strike w:val="0"/>
        </w:rPr>
        <w:t xml:space="preserve">A toll-free number must also be listed for MPN Medical Access Assistants, with a description of the access assistance they provide, including finding available physicians and scheduling </w:t>
      </w:r>
      <w:r w:rsidRPr="00353F8D">
        <w:rPr>
          <w:highlight w:val="yellow"/>
        </w:rPr>
        <w:t>and confirming</w:t>
      </w:r>
      <w:r w:rsidRPr="00ED7BCA">
        <w:rPr>
          <w:strike w:val="0"/>
        </w:rPr>
        <w:t xml:space="preserve"> physician appointments, and the times they are available to assist workers with obtaining access to medical treatment under the MPN;</w:t>
      </w:r>
      <w:r w:rsidRPr="00ED7BCA">
        <w:rPr>
          <w:strike w:val="0"/>
        </w:rPr>
        <w:br/>
      </w:r>
      <w:bookmarkStart w:id="10" w:name="I31324074CF0111E2A3BEAE4168993EE1"/>
      <w:bookmarkStart w:id="11" w:name="I31324075CF0111E2A3BEAE4168993EE1"/>
      <w:bookmarkEnd w:id="10"/>
      <w:bookmarkEnd w:id="11"/>
    </w:p>
    <w:p w:rsidR="00353F8D" w:rsidRPr="00353F8D" w:rsidRDefault="00353F8D" w:rsidP="00353F8D">
      <w:pPr>
        <w:autoSpaceDE/>
        <w:autoSpaceDN/>
        <w:ind w:left="720"/>
        <w:rPr>
          <w:i/>
          <w:strike w:val="0"/>
          <w:color w:val="000000"/>
        </w:rPr>
      </w:pPr>
      <w:r>
        <w:rPr>
          <w:i/>
          <w:strike w:val="0"/>
          <w:color w:val="000000"/>
        </w:rPr>
        <w:t>Confirming appointments is not a duty that is required by statute.</w:t>
      </w:r>
    </w:p>
    <w:p w:rsidR="00353F8D" w:rsidRPr="00ED7BCA" w:rsidRDefault="00353F8D" w:rsidP="00ED7BCA">
      <w:pPr>
        <w:autoSpaceDE/>
        <w:autoSpaceDN/>
        <w:rPr>
          <w:strike w:val="0"/>
          <w:color w:val="000000"/>
        </w:rPr>
      </w:pPr>
    </w:p>
    <w:p w:rsidR="00ED7BCA" w:rsidRPr="00353F8D" w:rsidRDefault="00ED7BCA" w:rsidP="00ED7BCA">
      <w:pPr>
        <w:autoSpaceDE/>
        <w:autoSpaceDN/>
        <w:rPr>
          <w:color w:val="000000"/>
        </w:rPr>
      </w:pPr>
      <w:r w:rsidRPr="00353F8D">
        <w:rPr>
          <w:color w:val="000000"/>
          <w:highlight w:val="yellow"/>
        </w:rPr>
        <w:t xml:space="preserve">(a)(2)(B) A description of MPN services as well </w:t>
      </w:r>
      <w:r w:rsidRPr="00E5114F">
        <w:rPr>
          <w:color w:val="000000"/>
          <w:highlight w:val="yellow"/>
        </w:rPr>
        <w:t xml:space="preserve">as </w:t>
      </w:r>
      <w:r w:rsidRPr="00E5114F">
        <w:rPr>
          <w:highlight w:val="yellow"/>
        </w:rPr>
        <w:t>the</w:t>
      </w:r>
      <w:r w:rsidRPr="00E5114F">
        <w:rPr>
          <w:strike w:val="0"/>
          <w:highlight w:val="yellow"/>
        </w:rPr>
        <w:t xml:space="preserve"> </w:t>
      </w:r>
      <w:proofErr w:type="spellStart"/>
      <w:r w:rsidR="00E5114F" w:rsidRPr="00E5114F">
        <w:rPr>
          <w:strike w:val="0"/>
          <w:highlight w:val="yellow"/>
          <w:u w:val="single"/>
        </w:rPr>
        <w:t>The</w:t>
      </w:r>
      <w:proofErr w:type="spellEnd"/>
      <w:r w:rsidR="00E5114F">
        <w:rPr>
          <w:strike w:val="0"/>
          <w:u w:val="single"/>
        </w:rPr>
        <w:t xml:space="preserve"> </w:t>
      </w:r>
      <w:r w:rsidRPr="00E5114F">
        <w:rPr>
          <w:strike w:val="0"/>
        </w:rPr>
        <w:t>MPN’s web address for</w:t>
      </w:r>
      <w:r w:rsidR="00E5114F">
        <w:rPr>
          <w:strike w:val="0"/>
        </w:rPr>
        <w:t xml:space="preserve"> </w:t>
      </w:r>
      <w:r w:rsidR="00E5114F" w:rsidRPr="00E5114F">
        <w:rPr>
          <w:strike w:val="0"/>
          <w:highlight w:val="yellow"/>
          <w:u w:val="single"/>
        </w:rPr>
        <w:t>the directory of MPN providers</w:t>
      </w:r>
      <w:r w:rsidRPr="00E5114F">
        <w:rPr>
          <w:highlight w:val="yellow"/>
        </w:rPr>
        <w:t xml:space="preserve"> more </w:t>
      </w:r>
      <w:r w:rsidRPr="00353F8D">
        <w:rPr>
          <w:highlight w:val="yellow"/>
        </w:rPr>
        <w:t>information about the MPN and the MPN’s approval number</w:t>
      </w:r>
      <w:r w:rsidRPr="00353F8D">
        <w:rPr>
          <w:color w:val="000000"/>
          <w:highlight w:val="yellow"/>
        </w:rPr>
        <w:t>;</w:t>
      </w:r>
      <w:r w:rsidRPr="00353F8D">
        <w:rPr>
          <w:color w:val="000000"/>
        </w:rPr>
        <w:t xml:space="preserve"> </w:t>
      </w:r>
    </w:p>
    <w:p w:rsidR="00ED7BCA" w:rsidRPr="00ED7BCA" w:rsidRDefault="00ED7BCA" w:rsidP="00ED7BCA">
      <w:pPr>
        <w:autoSpaceDE/>
        <w:autoSpaceDN/>
        <w:rPr>
          <w:strike w:val="0"/>
          <w:color w:val="000000"/>
        </w:rPr>
      </w:pPr>
      <w:bookmarkStart w:id="12" w:name="I31326780CF0111E2A3BEAE4168993EE1"/>
      <w:bookmarkStart w:id="13" w:name="I31326781CF0111E2A3BEAE4168993EE1"/>
      <w:bookmarkEnd w:id="12"/>
      <w:bookmarkEnd w:id="13"/>
    </w:p>
    <w:p w:rsidR="00C33F28" w:rsidRPr="00353F8D" w:rsidRDefault="00353F8D" w:rsidP="00353F8D">
      <w:pPr>
        <w:overflowPunct w:val="0"/>
        <w:adjustRightInd w:val="0"/>
        <w:ind w:left="720"/>
        <w:textAlignment w:val="baseline"/>
        <w:rPr>
          <w:i/>
          <w:strike w:val="0"/>
        </w:rPr>
      </w:pPr>
      <w:r w:rsidRPr="00353F8D">
        <w:rPr>
          <w:i/>
          <w:strike w:val="0"/>
        </w:rPr>
        <w:t xml:space="preserve">The </w:t>
      </w:r>
      <w:r>
        <w:rPr>
          <w:i/>
          <w:strike w:val="0"/>
        </w:rPr>
        <w:t xml:space="preserve">statute requires </w:t>
      </w:r>
      <w:r w:rsidR="00E5114F">
        <w:rPr>
          <w:i/>
          <w:strike w:val="0"/>
        </w:rPr>
        <w:t>a web address on for the listing of providers that is in the directory.</w:t>
      </w:r>
    </w:p>
    <w:p w:rsidR="00ED7BCA" w:rsidRDefault="00ED7BCA" w:rsidP="00E63BAE">
      <w:pPr>
        <w:overflowPunct w:val="0"/>
        <w:adjustRightInd w:val="0"/>
        <w:textAlignment w:val="baseline"/>
        <w:rPr>
          <w:b/>
          <w:strike w:val="0"/>
        </w:rPr>
      </w:pPr>
    </w:p>
    <w:p w:rsidR="00ED7BCA" w:rsidRDefault="00ED7BCA" w:rsidP="00E63BAE">
      <w:pPr>
        <w:overflowPunct w:val="0"/>
        <w:adjustRightInd w:val="0"/>
        <w:textAlignment w:val="baseline"/>
        <w:rPr>
          <w:b/>
          <w:strike w:val="0"/>
        </w:rPr>
      </w:pPr>
    </w:p>
    <w:p w:rsidR="0000304B" w:rsidRPr="0000304B" w:rsidRDefault="0000304B" w:rsidP="00E63BAE">
      <w:pPr>
        <w:overflowPunct w:val="0"/>
        <w:adjustRightInd w:val="0"/>
        <w:textAlignment w:val="baseline"/>
        <w:rPr>
          <w:b/>
          <w:strike w:val="0"/>
        </w:rPr>
      </w:pPr>
      <w:proofErr w:type="gramStart"/>
      <w:r w:rsidRPr="0000304B">
        <w:rPr>
          <w:b/>
          <w:strike w:val="0"/>
        </w:rPr>
        <w:t>Section  9767.15</w:t>
      </w:r>
      <w:proofErr w:type="gramEnd"/>
      <w:r w:rsidRPr="0000304B">
        <w:rPr>
          <w:b/>
          <w:strike w:val="0"/>
        </w:rPr>
        <w:t xml:space="preserve">  Compliance with Current MPN Regulations; Reapproval</w:t>
      </w:r>
    </w:p>
    <w:p w:rsidR="0000304B" w:rsidRPr="0000304B" w:rsidRDefault="0000304B" w:rsidP="00E63BAE">
      <w:pPr>
        <w:autoSpaceDE/>
        <w:autoSpaceDN/>
        <w:rPr>
          <w:strike w:val="0"/>
          <w:color w:val="000000"/>
        </w:rPr>
      </w:pPr>
    </w:p>
    <w:p w:rsidR="00A7343A" w:rsidRPr="00A7343A" w:rsidRDefault="00135860" w:rsidP="00A7343A">
      <w:pPr>
        <w:overflowPunct w:val="0"/>
        <w:adjustRightInd w:val="0"/>
        <w:rPr>
          <w:strike w:val="0"/>
          <w:sz w:val="20"/>
          <w:szCs w:val="20"/>
        </w:rPr>
      </w:pPr>
      <w:r>
        <w:rPr>
          <w:strike w:val="0"/>
        </w:rPr>
        <w:t xml:space="preserve"> (b)</w:t>
      </w:r>
      <w:r w:rsidR="00A7343A" w:rsidRPr="00A7343A">
        <w:rPr>
          <w:strike w:val="0"/>
        </w:rPr>
        <w:t xml:space="preserve">(1)  For MPNs approved prior to January 1, 2014, the four-year date of approval begins from the most recent approved filing prior to January 1, 2014.  MPNs most recently approved on or before January 1, 2011 will be deemed approved until </w:t>
      </w:r>
      <w:r w:rsidR="00A7343A" w:rsidRPr="00A7343A">
        <w:rPr>
          <w:highlight w:val="yellow"/>
        </w:rPr>
        <w:t>December 31, 2014</w:t>
      </w:r>
      <w:r w:rsidRPr="00135860">
        <w:rPr>
          <w:strike w:val="0"/>
          <w:highlight w:val="yellow"/>
          <w:u w:val="single"/>
        </w:rPr>
        <w:t xml:space="preserve"> twelve months from the date the regulations are filed with the Secretary of State, or the effective date of these regulations, whichever is later</w:t>
      </w:r>
      <w:r w:rsidR="00A7343A" w:rsidRPr="00A7343A">
        <w:rPr>
          <w:strike w:val="0"/>
        </w:rPr>
        <w:t xml:space="preserve">.  Reapprovals for these MPNs shall be filed no later than </w:t>
      </w:r>
      <w:r w:rsidR="00A7343A" w:rsidRPr="00A7343A">
        <w:rPr>
          <w:highlight w:val="yellow"/>
        </w:rPr>
        <w:t>June 30, 2014</w:t>
      </w:r>
      <w:r w:rsidR="0081234E" w:rsidRPr="00135860">
        <w:rPr>
          <w:strike w:val="0"/>
          <w:highlight w:val="yellow"/>
          <w:u w:val="single"/>
        </w:rPr>
        <w:t xml:space="preserve"> six months from the date the regulations are filed with the Secretary of State, or the effective date of these regulations, whichever is later</w:t>
      </w:r>
      <w:r w:rsidR="00A7343A" w:rsidRPr="00A7343A">
        <w:rPr>
          <w:strike w:val="0"/>
        </w:rPr>
        <w:t xml:space="preserve">.   </w:t>
      </w:r>
    </w:p>
    <w:p w:rsidR="00A7343A" w:rsidRDefault="00A7343A" w:rsidP="00E63BAE">
      <w:pPr>
        <w:rPr>
          <w:strike w:val="0"/>
        </w:rPr>
      </w:pPr>
    </w:p>
    <w:p w:rsidR="00A7343A" w:rsidRPr="00135860" w:rsidRDefault="00C05215" w:rsidP="00135860">
      <w:pPr>
        <w:ind w:left="720"/>
        <w:rPr>
          <w:i/>
          <w:strike w:val="0"/>
        </w:rPr>
      </w:pPr>
      <w:r>
        <w:rPr>
          <w:i/>
          <w:strike w:val="0"/>
        </w:rPr>
        <w:t xml:space="preserve">These revisions are recommended because the anticipated filing and effective dates are uncertain and anticipated to be later than expected. </w:t>
      </w:r>
    </w:p>
    <w:p w:rsidR="00135860" w:rsidRDefault="00135860" w:rsidP="00E63BAE">
      <w:pPr>
        <w:rPr>
          <w:strike w:val="0"/>
        </w:rPr>
      </w:pPr>
    </w:p>
    <w:p w:rsidR="005E1803" w:rsidRPr="001847AE" w:rsidRDefault="00BA3F2F" w:rsidP="00E77F67">
      <w:pPr>
        <w:overflowPunct w:val="0"/>
        <w:adjustRightInd w:val="0"/>
        <w:rPr>
          <w:strike w:val="0"/>
        </w:rPr>
      </w:pPr>
      <w:r>
        <w:rPr>
          <w:strike w:val="0"/>
        </w:rPr>
        <w:t>(b)</w:t>
      </w:r>
      <w:r w:rsidR="004B3F4D" w:rsidRPr="004B3F4D">
        <w:rPr>
          <w:strike w:val="0"/>
        </w:rPr>
        <w:t xml:space="preserve">(5) Each filing for reapproval shall meet the requirements for geocoding as follows: Provide an electronic copy in Microsoft Excel format of the geocoding results of the MPN provider directory to show compliance with the access standards for the injured workers being covered by the MPN.  The geocoding results shall include the following separate files:  </w:t>
      </w:r>
      <w:r w:rsidR="005E1803" w:rsidRPr="001847AE">
        <w:rPr>
          <w:strike w:val="0"/>
        </w:rPr>
        <w:t xml:space="preserve">1) a complete list of all zip codes within the MPN geographic service area; 2) a narrative and/or graphic report that establishes that there are at least three available primary treating physicians within the fifteen-mile access standard from the center of each zip code within the MPN geographic service area; 3)  a narrative and/or graphic report that establishes that there is a hospital  or an emergency health care service provider within the fifteen-mile access standard from the center of each zip code within the MPN geographic service area; 4) a narrative and/or graphic report that establishes that there are at least three available </w:t>
      </w:r>
      <w:proofErr w:type="spellStart"/>
      <w:r w:rsidR="005E1803" w:rsidRPr="001847AE">
        <w:rPr>
          <w:highlight w:val="yellow"/>
        </w:rPr>
        <w:t>specialists</w:t>
      </w:r>
      <w:r w:rsidR="005E1803" w:rsidRPr="00C573C0">
        <w:rPr>
          <w:strike w:val="0"/>
          <w:highlight w:val="yellow"/>
          <w:u w:val="single"/>
        </w:rPr>
        <w:t>types</w:t>
      </w:r>
      <w:proofErr w:type="spellEnd"/>
      <w:r w:rsidR="005E1803" w:rsidRPr="00334D25">
        <w:rPr>
          <w:strike w:val="0"/>
        </w:rPr>
        <w:t xml:space="preserve"> of </w:t>
      </w:r>
      <w:r w:rsidR="005E1803" w:rsidRPr="00C573C0">
        <w:rPr>
          <w:strike w:val="0"/>
          <w:highlight w:val="yellow"/>
          <w:u w:val="single"/>
        </w:rPr>
        <w:t>physicians</w:t>
      </w:r>
      <w:r w:rsidR="005E1803" w:rsidRPr="001847AE">
        <w:rPr>
          <w:strike w:val="0"/>
          <w:highlight w:val="yellow"/>
          <w:u w:val="single"/>
        </w:rPr>
        <w:t xml:space="preserve"> </w:t>
      </w:r>
      <w:r w:rsidR="005E1803" w:rsidRPr="00C573C0">
        <w:rPr>
          <w:strike w:val="0"/>
          <w:highlight w:val="yellow"/>
          <w:u w:val="single"/>
        </w:rPr>
        <w:t>described in Labor Code section 3209.3</w:t>
      </w:r>
      <w:r w:rsidR="005E1803" w:rsidRPr="00334D25">
        <w:rPr>
          <w:strike w:val="0"/>
        </w:rPr>
        <w:t xml:space="preserve"> </w:t>
      </w:r>
      <w:r w:rsidR="005E1803" w:rsidRPr="001847AE">
        <w:rPr>
          <w:strike w:val="0"/>
        </w:rPr>
        <w:t xml:space="preserve">to provide occupational health services </w:t>
      </w:r>
      <w:r w:rsidR="005E1803" w:rsidRPr="001847AE">
        <w:rPr>
          <w:highlight w:val="yellow"/>
        </w:rPr>
        <w:t xml:space="preserve">in each listed </w:t>
      </w:r>
      <w:proofErr w:type="spellStart"/>
      <w:r w:rsidR="005E1803" w:rsidRPr="001847AE">
        <w:rPr>
          <w:highlight w:val="yellow"/>
        </w:rPr>
        <w:t>specialty</w:t>
      </w:r>
      <w:r w:rsidR="005E1803" w:rsidRPr="00C573C0">
        <w:rPr>
          <w:strike w:val="0"/>
          <w:highlight w:val="yellow"/>
          <w:u w:val="single"/>
        </w:rPr>
        <w:t>to</w:t>
      </w:r>
      <w:proofErr w:type="spellEnd"/>
      <w:r w:rsidR="005E1803" w:rsidRPr="00C573C0">
        <w:rPr>
          <w:strike w:val="0"/>
          <w:highlight w:val="yellow"/>
          <w:u w:val="single"/>
        </w:rPr>
        <w:t xml:space="preserve"> treat common injuries experienced by injured employees engaged in the type of occupation or industry</w:t>
      </w:r>
      <w:r w:rsidR="005E1803" w:rsidRPr="001847AE">
        <w:rPr>
          <w:strike w:val="0"/>
          <w:u w:val="single"/>
        </w:rPr>
        <w:t xml:space="preserve"> </w:t>
      </w:r>
      <w:r w:rsidR="005E1803" w:rsidRPr="001847AE">
        <w:rPr>
          <w:strike w:val="0"/>
        </w:rPr>
        <w:t xml:space="preserve">within the thirty-mile access standard from the center of each zip code within the MPN geographic service area; 5) a list of all zip codes in which there is a health care shortage and where the access standards are not met for each specialty and an explanation of how medical </w:t>
      </w:r>
      <w:r w:rsidR="005E1803" w:rsidRPr="001847AE">
        <w:rPr>
          <w:strike w:val="0"/>
        </w:rPr>
        <w:lastRenderedPageBreak/>
        <w:t>treatment will be provided in those areas not meeting the access standards</w:t>
      </w:r>
      <w:r w:rsidR="005E1803" w:rsidRPr="001847AE">
        <w:rPr>
          <w:highlight w:val="yellow"/>
        </w:rPr>
        <w:t>; and 6) each physician listed in the MPN provider directory listing shall be assigned at least one provider code as set forth in subdivision (c)(2) of this section to be used in the geocoding reports</w:t>
      </w:r>
      <w:r w:rsidR="005E1803" w:rsidRPr="00334D25">
        <w:rPr>
          <w:strike w:val="0"/>
        </w:rPr>
        <w:t>.</w:t>
      </w:r>
      <w:r w:rsidR="005E1803" w:rsidRPr="001847AE">
        <w:rPr>
          <w:strike w:val="0"/>
        </w:rPr>
        <w:t xml:space="preserve"> </w:t>
      </w:r>
    </w:p>
    <w:p w:rsidR="004B3F4D" w:rsidRPr="004B3F4D" w:rsidRDefault="004B3F4D" w:rsidP="004B3F4D">
      <w:pPr>
        <w:overflowPunct w:val="0"/>
        <w:adjustRightInd w:val="0"/>
        <w:jc w:val="both"/>
        <w:rPr>
          <w:strike w:val="0"/>
        </w:rPr>
      </w:pPr>
    </w:p>
    <w:p w:rsidR="004B3F4D" w:rsidRDefault="004B3F4D" w:rsidP="004B3F4D">
      <w:pPr>
        <w:overflowPunct w:val="0"/>
        <w:adjustRightInd w:val="0"/>
        <w:ind w:left="720"/>
        <w:textAlignment w:val="baseline"/>
        <w:rPr>
          <w:bCs/>
          <w:i/>
          <w:strike w:val="0"/>
        </w:rPr>
      </w:pPr>
      <w:r w:rsidRPr="005E1803">
        <w:rPr>
          <w:bCs/>
          <w:i/>
          <w:strike w:val="0"/>
        </w:rPr>
        <w:t>Labor Code section 4616(b</w:t>
      </w:r>
      <w:proofErr w:type="gramStart"/>
      <w:r w:rsidRPr="005E1803">
        <w:rPr>
          <w:bCs/>
          <w:i/>
          <w:strike w:val="0"/>
        </w:rPr>
        <w:t>)(</w:t>
      </w:r>
      <w:proofErr w:type="gramEnd"/>
      <w:r w:rsidRPr="005E1803">
        <w:rPr>
          <w:bCs/>
          <w:i/>
          <w:strike w:val="0"/>
        </w:rPr>
        <w:t>3) requires MPNs to submit geocoding for reapproval “to</w:t>
      </w:r>
      <w:r>
        <w:rPr>
          <w:bCs/>
          <w:i/>
          <w:strike w:val="0"/>
        </w:rPr>
        <w:t xml:space="preserve"> establish that the number and geographic location of physicians in the network meets the required access standards.”  Labor Code section 4616(a</w:t>
      </w:r>
      <w:proofErr w:type="gramStart"/>
      <w:r>
        <w:rPr>
          <w:bCs/>
          <w:i/>
          <w:strike w:val="0"/>
        </w:rPr>
        <w:t>)(</w:t>
      </w:r>
      <w:proofErr w:type="gramEnd"/>
      <w:r>
        <w:rPr>
          <w:bCs/>
          <w:i/>
          <w:strike w:val="0"/>
        </w:rPr>
        <w:t>1)</w:t>
      </w:r>
      <w:r w:rsidRPr="00EE7ABF">
        <w:rPr>
          <w:bCs/>
          <w:i/>
          <w:strike w:val="0"/>
        </w:rPr>
        <w:t xml:space="preserve"> </w:t>
      </w:r>
      <w:r>
        <w:rPr>
          <w:bCs/>
          <w:i/>
          <w:strike w:val="0"/>
        </w:rPr>
        <w:t xml:space="preserve">requires an adequate number and type of physicians to treat common injuries, and that the number of physicians be sufficient to enable timely treatment.  It does not require the same number of physicians in each area, nor does it require access standards by specialty. </w:t>
      </w:r>
    </w:p>
    <w:p w:rsidR="004B3F4D" w:rsidRDefault="004B3F4D" w:rsidP="004B3F4D">
      <w:pPr>
        <w:overflowPunct w:val="0"/>
        <w:adjustRightInd w:val="0"/>
        <w:ind w:left="720"/>
        <w:textAlignment w:val="baseline"/>
        <w:rPr>
          <w:bCs/>
          <w:i/>
          <w:strike w:val="0"/>
        </w:rPr>
      </w:pPr>
    </w:p>
    <w:p w:rsidR="004B3F4D" w:rsidRDefault="004B3F4D" w:rsidP="004B3F4D">
      <w:pPr>
        <w:overflowPunct w:val="0"/>
        <w:adjustRightInd w:val="0"/>
        <w:ind w:left="720"/>
        <w:textAlignment w:val="baseline"/>
        <w:rPr>
          <w:bCs/>
          <w:i/>
          <w:strike w:val="0"/>
        </w:rPr>
      </w:pPr>
      <w:r w:rsidRPr="00EF29A0">
        <w:rPr>
          <w:bCs/>
          <w:i/>
          <w:strike w:val="0"/>
        </w:rPr>
        <w:t xml:space="preserve">See </w:t>
      </w:r>
      <w:r>
        <w:rPr>
          <w:bCs/>
          <w:i/>
          <w:strike w:val="0"/>
        </w:rPr>
        <w:t xml:space="preserve">in addition </w:t>
      </w:r>
      <w:r w:rsidRPr="00EF29A0">
        <w:rPr>
          <w:bCs/>
          <w:i/>
          <w:strike w:val="0"/>
        </w:rPr>
        <w:t>the comment on section 9767.1(a</w:t>
      </w:r>
      <w:proofErr w:type="gramStart"/>
      <w:r w:rsidRPr="00EF29A0">
        <w:rPr>
          <w:bCs/>
          <w:i/>
          <w:strike w:val="0"/>
        </w:rPr>
        <w:t>)(</w:t>
      </w:r>
      <w:proofErr w:type="gramEnd"/>
      <w:r w:rsidRPr="00EF29A0">
        <w:rPr>
          <w:bCs/>
          <w:i/>
          <w:strike w:val="0"/>
        </w:rPr>
        <w:t>2</w:t>
      </w:r>
      <w:r>
        <w:rPr>
          <w:bCs/>
          <w:i/>
          <w:strike w:val="0"/>
        </w:rPr>
        <w:t>5)(C)</w:t>
      </w:r>
      <w:r w:rsidRPr="00EF29A0">
        <w:rPr>
          <w:bCs/>
          <w:i/>
          <w:strike w:val="0"/>
        </w:rPr>
        <w:t xml:space="preserve"> regarding physician type vers</w:t>
      </w:r>
      <w:r>
        <w:rPr>
          <w:bCs/>
          <w:i/>
          <w:strike w:val="0"/>
        </w:rPr>
        <w:t>u</w:t>
      </w:r>
      <w:r w:rsidRPr="00EF29A0">
        <w:rPr>
          <w:bCs/>
          <w:i/>
          <w:strike w:val="0"/>
        </w:rPr>
        <w:t>s physician specialty.</w:t>
      </w:r>
    </w:p>
    <w:p w:rsidR="004B3F4D" w:rsidRDefault="004B3F4D" w:rsidP="004B3F4D">
      <w:pPr>
        <w:overflowPunct w:val="0"/>
        <w:adjustRightInd w:val="0"/>
        <w:ind w:left="720"/>
        <w:textAlignment w:val="baseline"/>
        <w:rPr>
          <w:bCs/>
          <w:i/>
          <w:strike w:val="0"/>
        </w:rPr>
      </w:pPr>
    </w:p>
    <w:p w:rsidR="004B3F4D" w:rsidRDefault="004B3F4D" w:rsidP="004B3F4D">
      <w:pPr>
        <w:overflowPunct w:val="0"/>
        <w:adjustRightInd w:val="0"/>
        <w:ind w:left="720"/>
        <w:textAlignment w:val="baseline"/>
        <w:rPr>
          <w:bCs/>
          <w:i/>
          <w:strike w:val="0"/>
        </w:rPr>
      </w:pPr>
      <w:r>
        <w:rPr>
          <w:bCs/>
          <w:i/>
          <w:strike w:val="0"/>
        </w:rPr>
        <w:t xml:space="preserve">See also the comment on section </w:t>
      </w:r>
      <w:r w:rsidR="002A1AC2">
        <w:rPr>
          <w:bCs/>
          <w:i/>
          <w:strike w:val="0"/>
        </w:rPr>
        <w:t>9767.3</w:t>
      </w:r>
      <w:r>
        <w:rPr>
          <w:bCs/>
          <w:i/>
          <w:strike w:val="0"/>
        </w:rPr>
        <w:t>(c</w:t>
      </w:r>
      <w:proofErr w:type="gramStart"/>
      <w:r>
        <w:rPr>
          <w:bCs/>
          <w:i/>
          <w:strike w:val="0"/>
        </w:rPr>
        <w:t>)(</w:t>
      </w:r>
      <w:proofErr w:type="gramEnd"/>
      <w:r>
        <w:rPr>
          <w:bCs/>
          <w:i/>
          <w:strike w:val="0"/>
        </w:rPr>
        <w:t>2).</w:t>
      </w:r>
      <w:r w:rsidRPr="00EF29A0">
        <w:rPr>
          <w:bCs/>
          <w:i/>
          <w:strike w:val="0"/>
        </w:rPr>
        <w:t xml:space="preserve"> </w:t>
      </w:r>
      <w:r>
        <w:rPr>
          <w:bCs/>
          <w:i/>
          <w:strike w:val="0"/>
        </w:rPr>
        <w:t xml:space="preserve"> The purpose of the newly proposed </w:t>
      </w:r>
      <w:r w:rsidR="007162F8">
        <w:rPr>
          <w:bCs/>
          <w:i/>
          <w:strike w:val="0"/>
        </w:rPr>
        <w:t>provider codes</w:t>
      </w:r>
      <w:r>
        <w:rPr>
          <w:bCs/>
          <w:i/>
          <w:strike w:val="0"/>
        </w:rPr>
        <w:t xml:space="preserve"> is not clear for this section as well and appears to be unnecessary.</w:t>
      </w:r>
    </w:p>
    <w:p w:rsidR="004B3F4D" w:rsidRDefault="004B3F4D" w:rsidP="00CE4053">
      <w:pPr>
        <w:overflowPunct w:val="0"/>
        <w:adjustRightInd w:val="0"/>
        <w:textAlignment w:val="baseline"/>
        <w:rPr>
          <w:b/>
          <w:strike w:val="0"/>
        </w:rPr>
      </w:pPr>
    </w:p>
    <w:p w:rsidR="008261A9" w:rsidRPr="00EF29A0" w:rsidRDefault="008261A9" w:rsidP="00E63BAE">
      <w:pPr>
        <w:overflowPunct w:val="0"/>
        <w:adjustRightInd w:val="0"/>
        <w:spacing w:before="240"/>
        <w:textAlignment w:val="baseline"/>
        <w:rPr>
          <w:b/>
          <w:strike w:val="0"/>
        </w:rPr>
      </w:pPr>
      <w:r w:rsidRPr="00933E59">
        <w:rPr>
          <w:b/>
          <w:strike w:val="0"/>
        </w:rPr>
        <w:t xml:space="preserve">Section 9767.17 Petition </w:t>
      </w:r>
      <w:r w:rsidR="00820873">
        <w:rPr>
          <w:b/>
          <w:strike w:val="0"/>
        </w:rPr>
        <w:t>for</w:t>
      </w:r>
      <w:r w:rsidRPr="00933E59">
        <w:rPr>
          <w:b/>
          <w:strike w:val="0"/>
        </w:rPr>
        <w:t xml:space="preserve"> Suspen</w:t>
      </w:r>
      <w:r w:rsidR="00820873">
        <w:rPr>
          <w:b/>
          <w:strike w:val="0"/>
        </w:rPr>
        <w:t>sion</w:t>
      </w:r>
      <w:r w:rsidRPr="00933E59">
        <w:rPr>
          <w:b/>
          <w:strike w:val="0"/>
        </w:rPr>
        <w:t xml:space="preserve"> or</w:t>
      </w:r>
      <w:r w:rsidRPr="00933E59">
        <w:rPr>
          <w:strike w:val="0"/>
        </w:rPr>
        <w:t xml:space="preserve"> </w:t>
      </w:r>
      <w:r w:rsidRPr="00933E59">
        <w:rPr>
          <w:b/>
          <w:strike w:val="0"/>
        </w:rPr>
        <w:t>Revo</w:t>
      </w:r>
      <w:r w:rsidR="00820873">
        <w:rPr>
          <w:b/>
          <w:strike w:val="0"/>
        </w:rPr>
        <w:t>cation of</w:t>
      </w:r>
      <w:r w:rsidRPr="00933E59">
        <w:rPr>
          <w:b/>
          <w:strike w:val="0"/>
        </w:rPr>
        <w:t xml:space="preserve"> a Medical Provider Network</w:t>
      </w:r>
    </w:p>
    <w:p w:rsidR="00342104" w:rsidRPr="00342104" w:rsidRDefault="00342104" w:rsidP="00E77F67">
      <w:pPr>
        <w:overflowPunct w:val="0"/>
        <w:adjustRightInd w:val="0"/>
        <w:spacing w:before="240"/>
        <w:rPr>
          <w:strike w:val="0"/>
        </w:rPr>
      </w:pPr>
      <w:r>
        <w:rPr>
          <w:strike w:val="0"/>
        </w:rPr>
        <w:t>(a)</w:t>
      </w:r>
      <w:r w:rsidRPr="00342104">
        <w:rPr>
          <w:strike w:val="0"/>
        </w:rPr>
        <w:t xml:space="preserve">(2) That an MPN has systematically failed to meet access standards under 9767.5 at minimum, on more than </w:t>
      </w:r>
      <w:proofErr w:type="spellStart"/>
      <w:r w:rsidRPr="00342104">
        <w:rPr>
          <w:highlight w:val="yellow"/>
        </w:rPr>
        <w:t>one</w:t>
      </w:r>
      <w:r w:rsidR="00586759" w:rsidRPr="00586759">
        <w:rPr>
          <w:strike w:val="0"/>
          <w:highlight w:val="yellow"/>
          <w:u w:val="single"/>
        </w:rPr>
        <w:t>t</w:t>
      </w:r>
      <w:r w:rsidR="00020708">
        <w:rPr>
          <w:strike w:val="0"/>
          <w:u w:val="single"/>
        </w:rPr>
        <w:t>wo</w:t>
      </w:r>
      <w:proofErr w:type="spellEnd"/>
      <w:r w:rsidRPr="00342104">
        <w:rPr>
          <w:strike w:val="0"/>
        </w:rPr>
        <w:t xml:space="preserve"> occasion</w:t>
      </w:r>
      <w:r w:rsidR="00586759" w:rsidRPr="00586759">
        <w:rPr>
          <w:strike w:val="0"/>
          <w:highlight w:val="yellow"/>
          <w:u w:val="single"/>
        </w:rPr>
        <w:t>s</w:t>
      </w:r>
      <w:r w:rsidRPr="00342104">
        <w:rPr>
          <w:strike w:val="0"/>
        </w:rPr>
        <w:t xml:space="preserve"> in at least </w:t>
      </w:r>
      <w:r w:rsidRPr="00342104">
        <w:rPr>
          <w:highlight w:val="yellow"/>
        </w:rPr>
        <w:t>two</w:t>
      </w:r>
      <w:r w:rsidRPr="00342104">
        <w:rPr>
          <w:strike w:val="0"/>
          <w:highlight w:val="yellow"/>
        </w:rPr>
        <w:t xml:space="preserve"> </w:t>
      </w:r>
      <w:r w:rsidR="00586759" w:rsidRPr="00586759">
        <w:rPr>
          <w:strike w:val="0"/>
          <w:highlight w:val="yellow"/>
          <w:u w:val="single"/>
        </w:rPr>
        <w:t>three</w:t>
      </w:r>
      <w:r w:rsidR="00586759">
        <w:rPr>
          <w:strike w:val="0"/>
          <w:u w:val="single"/>
        </w:rPr>
        <w:t xml:space="preserve"> </w:t>
      </w:r>
      <w:r w:rsidRPr="00342104">
        <w:rPr>
          <w:strike w:val="0"/>
        </w:rPr>
        <w:t xml:space="preserve">specific access locations within the MPN geographic service area. Additionally, the </w:t>
      </w:r>
      <w:r w:rsidR="00090BE8" w:rsidRPr="00090BE8">
        <w:rPr>
          <w:strike w:val="0"/>
          <w:highlight w:val="yellow"/>
          <w:u w:val="single"/>
        </w:rPr>
        <w:t>petitioner must show that the</w:t>
      </w:r>
      <w:r w:rsidR="00090BE8">
        <w:rPr>
          <w:strike w:val="0"/>
          <w:u w:val="single"/>
        </w:rPr>
        <w:t xml:space="preserve"> </w:t>
      </w:r>
      <w:r w:rsidRPr="00342104">
        <w:rPr>
          <w:strike w:val="0"/>
        </w:rPr>
        <w:t xml:space="preserve">MPN failed to ensure in each </w:t>
      </w:r>
      <w:proofErr w:type="spellStart"/>
      <w:r w:rsidRPr="00342104">
        <w:rPr>
          <w:highlight w:val="yellow"/>
        </w:rPr>
        <w:t>instance</w:t>
      </w:r>
      <w:r w:rsidR="00090BE8" w:rsidRPr="00090BE8">
        <w:rPr>
          <w:strike w:val="0"/>
          <w:highlight w:val="yellow"/>
          <w:u w:val="single"/>
        </w:rPr>
        <w:t>occurance</w:t>
      </w:r>
      <w:proofErr w:type="spellEnd"/>
      <w:r w:rsidRPr="00342104">
        <w:rPr>
          <w:strike w:val="0"/>
        </w:rPr>
        <w:t xml:space="preserve"> that a worker received necessary medical treatment within the MPN </w:t>
      </w:r>
      <w:proofErr w:type="spellStart"/>
      <w:r w:rsidRPr="00342104">
        <w:rPr>
          <w:highlight w:val="yellow"/>
        </w:rPr>
        <w:t>or</w:t>
      </w:r>
      <w:r w:rsidR="00586759" w:rsidRPr="00586759">
        <w:rPr>
          <w:strike w:val="0"/>
          <w:highlight w:val="yellow"/>
          <w:u w:val="single"/>
        </w:rPr>
        <w:t>and</w:t>
      </w:r>
      <w:proofErr w:type="spellEnd"/>
      <w:r w:rsidRPr="00342104">
        <w:rPr>
          <w:strike w:val="0"/>
        </w:rPr>
        <w:t xml:space="preserve"> failed to authorize treatment outside of the MPN within the required time frames and access standards. </w:t>
      </w:r>
    </w:p>
    <w:p w:rsidR="00586759" w:rsidRDefault="00586759" w:rsidP="00112258">
      <w:pPr>
        <w:overflowPunct w:val="0"/>
        <w:adjustRightInd w:val="0"/>
        <w:textAlignment w:val="baseline"/>
        <w:rPr>
          <w:strike w:val="0"/>
          <w:highlight w:val="magenta"/>
        </w:rPr>
      </w:pPr>
    </w:p>
    <w:p w:rsidR="00BF047B" w:rsidRDefault="004E074C" w:rsidP="00586759">
      <w:pPr>
        <w:autoSpaceDE/>
        <w:autoSpaceDN/>
        <w:ind w:left="720"/>
        <w:rPr>
          <w:bCs/>
          <w:i/>
          <w:strike w:val="0"/>
        </w:rPr>
      </w:pPr>
      <w:r w:rsidRPr="00586759">
        <w:rPr>
          <w:bCs/>
          <w:i/>
          <w:strike w:val="0"/>
        </w:rPr>
        <w:t>A systematic failure</w:t>
      </w:r>
      <w:r w:rsidR="002D130C">
        <w:rPr>
          <w:bCs/>
          <w:i/>
          <w:strike w:val="0"/>
        </w:rPr>
        <w:t xml:space="preserve"> to meet access standards should equate to the MPN’s inability, overall, to meet regulatory and statutory requirements over a period of time.  T</w:t>
      </w:r>
      <w:r w:rsidR="00E92E62">
        <w:rPr>
          <w:bCs/>
          <w:i/>
          <w:strike w:val="0"/>
        </w:rPr>
        <w:t>he basis for a</w:t>
      </w:r>
      <w:r>
        <w:rPr>
          <w:bCs/>
          <w:i/>
          <w:strike w:val="0"/>
        </w:rPr>
        <w:t xml:space="preserve"> </w:t>
      </w:r>
      <w:r w:rsidR="00E92E62">
        <w:rPr>
          <w:bCs/>
          <w:i/>
          <w:strike w:val="0"/>
        </w:rPr>
        <w:t xml:space="preserve">petition to </w:t>
      </w:r>
      <w:r>
        <w:rPr>
          <w:bCs/>
          <w:i/>
          <w:strike w:val="0"/>
        </w:rPr>
        <w:t>reasonabl</w:t>
      </w:r>
      <w:r w:rsidR="00E92E62">
        <w:rPr>
          <w:bCs/>
          <w:i/>
          <w:strike w:val="0"/>
        </w:rPr>
        <w:t>y</w:t>
      </w:r>
      <w:r>
        <w:rPr>
          <w:bCs/>
          <w:i/>
          <w:strike w:val="0"/>
        </w:rPr>
        <w:t xml:space="preserve"> trigger </w:t>
      </w:r>
      <w:r w:rsidR="00E92E62">
        <w:rPr>
          <w:bCs/>
          <w:i/>
          <w:strike w:val="0"/>
        </w:rPr>
        <w:t>an</w:t>
      </w:r>
      <w:r>
        <w:rPr>
          <w:bCs/>
          <w:i/>
          <w:strike w:val="0"/>
        </w:rPr>
        <w:t xml:space="preserve"> investigat</w:t>
      </w:r>
      <w:r w:rsidR="00E92E62">
        <w:rPr>
          <w:bCs/>
          <w:i/>
          <w:strike w:val="0"/>
        </w:rPr>
        <w:t>ion</w:t>
      </w:r>
      <w:r>
        <w:rPr>
          <w:bCs/>
          <w:i/>
          <w:strike w:val="0"/>
        </w:rPr>
        <w:t xml:space="preserve"> should be more than </w:t>
      </w:r>
      <w:r w:rsidR="00745B4E">
        <w:rPr>
          <w:bCs/>
          <w:i/>
          <w:strike w:val="0"/>
        </w:rPr>
        <w:t xml:space="preserve">just </w:t>
      </w:r>
      <w:r w:rsidR="00E92E62">
        <w:rPr>
          <w:bCs/>
          <w:i/>
          <w:strike w:val="0"/>
        </w:rPr>
        <w:t xml:space="preserve">a couple of </w:t>
      </w:r>
      <w:r>
        <w:rPr>
          <w:bCs/>
          <w:i/>
          <w:strike w:val="0"/>
        </w:rPr>
        <w:t xml:space="preserve">isolated incidents.  </w:t>
      </w:r>
      <w:r w:rsidR="00CA71E2">
        <w:rPr>
          <w:bCs/>
          <w:i/>
          <w:strike w:val="0"/>
        </w:rPr>
        <w:t xml:space="preserve">Given the potential disruption to the medical care of multiple injured employees and the penalty (suspension or revocation), a minimum standard of two occasions in two locations as a baseline for submitting a petition is unreasonably low.  </w:t>
      </w:r>
    </w:p>
    <w:p w:rsidR="00BF047B" w:rsidRDefault="00BF047B" w:rsidP="00586759">
      <w:pPr>
        <w:autoSpaceDE/>
        <w:autoSpaceDN/>
        <w:ind w:left="720"/>
        <w:rPr>
          <w:bCs/>
          <w:i/>
          <w:strike w:val="0"/>
        </w:rPr>
      </w:pPr>
    </w:p>
    <w:p w:rsidR="00A24B54" w:rsidRDefault="00BF047B" w:rsidP="00586759">
      <w:pPr>
        <w:autoSpaceDE/>
        <w:autoSpaceDN/>
        <w:ind w:left="720"/>
        <w:rPr>
          <w:bCs/>
          <w:i/>
          <w:strike w:val="0"/>
        </w:rPr>
      </w:pPr>
      <w:r>
        <w:rPr>
          <w:bCs/>
          <w:i/>
          <w:strike w:val="0"/>
        </w:rPr>
        <w:t xml:space="preserve">For </w:t>
      </w:r>
      <w:r w:rsidR="00D47211">
        <w:rPr>
          <w:bCs/>
          <w:i/>
          <w:strike w:val="0"/>
        </w:rPr>
        <w:t>a more</w:t>
      </w:r>
      <w:r>
        <w:rPr>
          <w:bCs/>
          <w:i/>
          <w:strike w:val="0"/>
        </w:rPr>
        <w:t xml:space="preserve"> reasonable red flag for investigating whether there is a systematic failure, e</w:t>
      </w:r>
      <w:r w:rsidR="005C20DB">
        <w:rPr>
          <w:bCs/>
          <w:i/>
          <w:strike w:val="0"/>
        </w:rPr>
        <w:t>ach incident</w:t>
      </w:r>
      <w:r w:rsidR="009A45E4">
        <w:rPr>
          <w:bCs/>
          <w:i/>
          <w:strike w:val="0"/>
        </w:rPr>
        <w:t xml:space="preserve"> </w:t>
      </w:r>
      <w:r w:rsidR="002D130C">
        <w:rPr>
          <w:bCs/>
          <w:i/>
          <w:strike w:val="0"/>
        </w:rPr>
        <w:t>should</w:t>
      </w:r>
      <w:r w:rsidR="009A45E4">
        <w:rPr>
          <w:bCs/>
          <w:i/>
          <w:strike w:val="0"/>
        </w:rPr>
        <w:t xml:space="preserve"> involve a failure to </w:t>
      </w:r>
      <w:r w:rsidR="00826468">
        <w:rPr>
          <w:bCs/>
          <w:i/>
          <w:strike w:val="0"/>
        </w:rPr>
        <w:t xml:space="preserve">both </w:t>
      </w:r>
      <w:r w:rsidR="009A45E4">
        <w:rPr>
          <w:bCs/>
          <w:i/>
          <w:strike w:val="0"/>
        </w:rPr>
        <w:t xml:space="preserve">provide necessary treatment </w:t>
      </w:r>
      <w:r w:rsidR="00826468">
        <w:rPr>
          <w:bCs/>
          <w:i/>
          <w:strike w:val="0"/>
        </w:rPr>
        <w:t>within the MPN and to authorize it out of network</w:t>
      </w:r>
      <w:r w:rsidR="005C20DB">
        <w:rPr>
          <w:bCs/>
          <w:i/>
          <w:strike w:val="0"/>
        </w:rPr>
        <w:t xml:space="preserve"> </w:t>
      </w:r>
      <w:r w:rsidR="00CA71E2">
        <w:rPr>
          <w:bCs/>
          <w:i/>
          <w:strike w:val="0"/>
        </w:rPr>
        <w:t>o</w:t>
      </w:r>
      <w:r w:rsidR="005C20DB">
        <w:rPr>
          <w:bCs/>
          <w:i/>
          <w:strike w:val="0"/>
        </w:rPr>
        <w:t>n at least three</w:t>
      </w:r>
      <w:r w:rsidR="00586759" w:rsidRPr="00586759">
        <w:rPr>
          <w:bCs/>
          <w:i/>
          <w:strike w:val="0"/>
        </w:rPr>
        <w:t xml:space="preserve"> occasions </w:t>
      </w:r>
      <w:r w:rsidR="00687112">
        <w:rPr>
          <w:bCs/>
          <w:i/>
          <w:strike w:val="0"/>
        </w:rPr>
        <w:t xml:space="preserve">in three </w:t>
      </w:r>
      <w:r w:rsidR="00586759" w:rsidRPr="00586759">
        <w:rPr>
          <w:bCs/>
          <w:i/>
          <w:strike w:val="0"/>
        </w:rPr>
        <w:t>locations</w:t>
      </w:r>
      <w:r w:rsidR="00CA71E2">
        <w:rPr>
          <w:bCs/>
          <w:i/>
          <w:strike w:val="0"/>
        </w:rPr>
        <w:t xml:space="preserve">.  </w:t>
      </w:r>
      <w:r w:rsidR="00A24B54">
        <w:rPr>
          <w:bCs/>
          <w:i/>
          <w:strike w:val="0"/>
        </w:rPr>
        <w:t xml:space="preserve"> </w:t>
      </w:r>
    </w:p>
    <w:p w:rsidR="003C6B39" w:rsidRPr="003C6B39" w:rsidRDefault="00367BFB" w:rsidP="00E77F67">
      <w:pPr>
        <w:overflowPunct w:val="0"/>
        <w:adjustRightInd w:val="0"/>
        <w:spacing w:before="240"/>
        <w:rPr>
          <w:strike w:val="0"/>
        </w:rPr>
      </w:pPr>
      <w:r>
        <w:rPr>
          <w:strike w:val="0"/>
        </w:rPr>
        <w:t>(c)</w:t>
      </w:r>
      <w:r w:rsidR="003C6B39" w:rsidRPr="003C6B39">
        <w:rPr>
          <w:strike w:val="0"/>
        </w:rPr>
        <w:t xml:space="preserve">(2) Results of any and all attempts by petitioner to determine if the MPN has met the access standards on more than </w:t>
      </w:r>
      <w:proofErr w:type="spellStart"/>
      <w:r w:rsidR="003C6B39" w:rsidRPr="003C6B39">
        <w:rPr>
          <w:highlight w:val="yellow"/>
        </w:rPr>
        <w:t>one</w:t>
      </w:r>
      <w:r w:rsidR="003C6B39" w:rsidRPr="003C6B39">
        <w:rPr>
          <w:strike w:val="0"/>
          <w:highlight w:val="yellow"/>
          <w:u w:val="single"/>
        </w:rPr>
        <w:t>two</w:t>
      </w:r>
      <w:proofErr w:type="spellEnd"/>
      <w:r w:rsidR="003C6B39" w:rsidRPr="003C6B39">
        <w:rPr>
          <w:strike w:val="0"/>
        </w:rPr>
        <w:t xml:space="preserve"> occasion</w:t>
      </w:r>
      <w:r w:rsidR="003C6B39" w:rsidRPr="00367BFB">
        <w:rPr>
          <w:strike w:val="0"/>
          <w:highlight w:val="yellow"/>
          <w:u w:val="single"/>
        </w:rPr>
        <w:t>s</w:t>
      </w:r>
      <w:r w:rsidR="003C6B39" w:rsidRPr="003C6B39">
        <w:rPr>
          <w:strike w:val="0"/>
          <w:highlight w:val="yellow"/>
        </w:rPr>
        <w:t xml:space="preserve"> </w:t>
      </w:r>
      <w:r w:rsidR="003C6B39" w:rsidRPr="003C6B39">
        <w:rPr>
          <w:highlight w:val="yellow"/>
        </w:rPr>
        <w:t xml:space="preserve">for </w:t>
      </w:r>
      <w:proofErr w:type="spellStart"/>
      <w:r w:rsidR="003C6B39" w:rsidRPr="003C6B39">
        <w:rPr>
          <w:highlight w:val="yellow"/>
        </w:rPr>
        <w:t>the</w:t>
      </w:r>
      <w:r w:rsidRPr="00367BFB">
        <w:rPr>
          <w:highlight w:val="yellow"/>
          <w:u w:val="single"/>
        </w:rPr>
        <w:t>in</w:t>
      </w:r>
      <w:proofErr w:type="spellEnd"/>
      <w:r w:rsidRPr="00367BFB">
        <w:rPr>
          <w:highlight w:val="yellow"/>
          <w:u w:val="single"/>
        </w:rPr>
        <w:t xml:space="preserve"> at least three</w:t>
      </w:r>
      <w:r w:rsidR="003C6B39" w:rsidRPr="003C6B39">
        <w:rPr>
          <w:strike w:val="0"/>
        </w:rPr>
        <w:t xml:space="preserve"> specific locations within the geographic service area or areas described in its plan</w:t>
      </w:r>
      <w:r w:rsidR="00FB1C8B">
        <w:rPr>
          <w:strike w:val="0"/>
        </w:rPr>
        <w:t xml:space="preserve"> </w:t>
      </w:r>
      <w:r w:rsidR="00FB1C8B" w:rsidRPr="00366A3F">
        <w:rPr>
          <w:strike w:val="0"/>
          <w:highlight w:val="yellow"/>
          <w:u w:val="single"/>
        </w:rPr>
        <w:t>without authorizing</w:t>
      </w:r>
      <w:r w:rsidR="00366A3F" w:rsidRPr="00366A3F">
        <w:rPr>
          <w:strike w:val="0"/>
          <w:highlight w:val="yellow"/>
          <w:u w:val="single"/>
        </w:rPr>
        <w:t xml:space="preserve"> treatment outside the network</w:t>
      </w:r>
      <w:r w:rsidR="003C6B39" w:rsidRPr="003C6B39">
        <w:rPr>
          <w:strike w:val="0"/>
        </w:rPr>
        <w:t>.</w:t>
      </w:r>
    </w:p>
    <w:p w:rsidR="003C6B39" w:rsidRDefault="003C6B39" w:rsidP="00E63BAE">
      <w:pPr>
        <w:overflowPunct w:val="0"/>
        <w:adjustRightInd w:val="0"/>
        <w:ind w:left="720"/>
        <w:textAlignment w:val="baseline"/>
        <w:rPr>
          <w:i/>
          <w:strike w:val="0"/>
        </w:rPr>
      </w:pPr>
    </w:p>
    <w:p w:rsidR="00367BFB" w:rsidRPr="003C6B39" w:rsidRDefault="00367BFB" w:rsidP="00E63BAE">
      <w:pPr>
        <w:overflowPunct w:val="0"/>
        <w:adjustRightInd w:val="0"/>
        <w:ind w:left="720"/>
        <w:textAlignment w:val="baseline"/>
        <w:rPr>
          <w:i/>
          <w:strike w:val="0"/>
        </w:rPr>
      </w:pPr>
      <w:r>
        <w:rPr>
          <w:i/>
          <w:strike w:val="0"/>
        </w:rPr>
        <w:t>As discussed in (a</w:t>
      </w:r>
      <w:proofErr w:type="gramStart"/>
      <w:r>
        <w:rPr>
          <w:i/>
          <w:strike w:val="0"/>
        </w:rPr>
        <w:t>)(</w:t>
      </w:r>
      <w:proofErr w:type="gramEnd"/>
      <w:r>
        <w:rPr>
          <w:i/>
          <w:strike w:val="0"/>
        </w:rPr>
        <w:t>2),</w:t>
      </w:r>
      <w:r w:rsidR="00FB1C8B">
        <w:rPr>
          <w:i/>
          <w:strike w:val="0"/>
        </w:rPr>
        <w:t xml:space="preserve"> a petition should show </w:t>
      </w:r>
      <w:r w:rsidR="00A67C80">
        <w:rPr>
          <w:bCs/>
          <w:i/>
          <w:strike w:val="0"/>
        </w:rPr>
        <w:t>a failure to both provide necessary treatment within the MPN and to authorize it out of network on at least three</w:t>
      </w:r>
      <w:r w:rsidR="00A67C80" w:rsidRPr="00586759">
        <w:rPr>
          <w:bCs/>
          <w:i/>
          <w:strike w:val="0"/>
        </w:rPr>
        <w:t xml:space="preserve"> occasions </w:t>
      </w:r>
      <w:r w:rsidR="00A67C80">
        <w:rPr>
          <w:bCs/>
          <w:i/>
          <w:strike w:val="0"/>
        </w:rPr>
        <w:t xml:space="preserve">in three </w:t>
      </w:r>
      <w:r w:rsidR="00A67C80" w:rsidRPr="00586759">
        <w:rPr>
          <w:bCs/>
          <w:i/>
          <w:strike w:val="0"/>
        </w:rPr>
        <w:t>locations</w:t>
      </w:r>
      <w:r w:rsidR="00A67C80">
        <w:rPr>
          <w:bCs/>
          <w:i/>
          <w:strike w:val="0"/>
        </w:rPr>
        <w:t>.</w:t>
      </w:r>
    </w:p>
    <w:p w:rsidR="003C6B39" w:rsidRDefault="003C6B39" w:rsidP="00E63BAE">
      <w:pPr>
        <w:overflowPunct w:val="0"/>
        <w:adjustRightInd w:val="0"/>
        <w:ind w:left="720"/>
        <w:textAlignment w:val="baseline"/>
        <w:rPr>
          <w:b/>
          <w:strike w:val="0"/>
        </w:rPr>
      </w:pPr>
    </w:p>
    <w:p w:rsidR="00440C24" w:rsidRDefault="00440C24" w:rsidP="00E63BAE">
      <w:pPr>
        <w:overflowPunct w:val="0"/>
        <w:adjustRightInd w:val="0"/>
        <w:ind w:left="720"/>
        <w:textAlignment w:val="baseline"/>
        <w:rPr>
          <w:b/>
          <w:strike w:val="0"/>
        </w:rPr>
      </w:pPr>
    </w:p>
    <w:p w:rsidR="00986362" w:rsidRDefault="00986362" w:rsidP="00E63BAE">
      <w:pPr>
        <w:overflowPunct w:val="0"/>
        <w:adjustRightInd w:val="0"/>
        <w:ind w:left="720"/>
        <w:textAlignment w:val="baseline"/>
        <w:rPr>
          <w:b/>
          <w:strike w:val="0"/>
        </w:rPr>
      </w:pPr>
    </w:p>
    <w:p w:rsidR="008261A9" w:rsidRPr="00EF29A0" w:rsidRDefault="008261A9" w:rsidP="00CE4053">
      <w:pPr>
        <w:overflowPunct w:val="0"/>
        <w:adjustRightInd w:val="0"/>
        <w:spacing w:after="240"/>
        <w:textAlignment w:val="baseline"/>
        <w:rPr>
          <w:strike w:val="0"/>
        </w:rPr>
      </w:pPr>
      <w:r w:rsidRPr="00EF29A0">
        <w:rPr>
          <w:b/>
          <w:strike w:val="0"/>
        </w:rPr>
        <w:lastRenderedPageBreak/>
        <w:t xml:space="preserve">Section 9767.17.5 DWC Petition to Suspend or Revoke an MPN Form </w:t>
      </w:r>
    </w:p>
    <w:p w:rsidR="000703D0" w:rsidRPr="001518DB" w:rsidRDefault="000703D0" w:rsidP="00724B76">
      <w:pPr>
        <w:adjustRightInd w:val="0"/>
        <w:rPr>
          <w:strike w:val="0"/>
          <w:color w:val="231F20"/>
        </w:rPr>
      </w:pPr>
      <w:r w:rsidRPr="001518DB">
        <w:rPr>
          <w:bCs/>
          <w:strike w:val="0"/>
          <w:color w:val="231F20"/>
        </w:rPr>
        <w:t xml:space="preserve">MPN </w:t>
      </w:r>
      <w:proofErr w:type="spellStart"/>
      <w:r w:rsidRPr="001518DB">
        <w:rPr>
          <w:bCs/>
          <w:color w:val="231F20"/>
          <w:highlight w:val="yellow"/>
        </w:rPr>
        <w:t>Contact</w:t>
      </w:r>
      <w:r w:rsidR="001518DB" w:rsidRPr="001518DB">
        <w:rPr>
          <w:bCs/>
          <w:strike w:val="0"/>
          <w:color w:val="231F20"/>
          <w:highlight w:val="yellow"/>
          <w:u w:val="single"/>
        </w:rPr>
        <w:t>Applicant</w:t>
      </w:r>
      <w:proofErr w:type="spellEnd"/>
      <w:r w:rsidRPr="001518DB">
        <w:rPr>
          <w:bCs/>
          <w:strike w:val="0"/>
          <w:color w:val="231F20"/>
        </w:rPr>
        <w:t xml:space="preserve"> Information</w:t>
      </w:r>
    </w:p>
    <w:p w:rsidR="000703D0" w:rsidRDefault="000703D0" w:rsidP="00724B76">
      <w:pPr>
        <w:adjustRightInd w:val="0"/>
        <w:rPr>
          <w:strike w:val="0"/>
          <w:color w:val="231F20"/>
        </w:rPr>
      </w:pPr>
    </w:p>
    <w:p w:rsidR="001518DB" w:rsidRPr="006D5348" w:rsidRDefault="001518DB" w:rsidP="001518DB">
      <w:pPr>
        <w:adjustRightInd w:val="0"/>
        <w:ind w:left="720"/>
        <w:rPr>
          <w:bCs/>
          <w:i/>
          <w:strike w:val="0"/>
          <w:color w:val="231F20"/>
        </w:rPr>
      </w:pPr>
      <w:r w:rsidRPr="001518DB">
        <w:rPr>
          <w:bCs/>
          <w:i/>
          <w:strike w:val="0"/>
          <w:color w:val="231F20"/>
        </w:rPr>
        <w:t>The Institute</w:t>
      </w:r>
      <w:r w:rsidRPr="006D5348">
        <w:rPr>
          <w:bCs/>
          <w:i/>
          <w:strike w:val="0"/>
          <w:color w:val="231F20"/>
        </w:rPr>
        <w:t xml:space="preserve"> recommends changing </w:t>
      </w:r>
      <w:r w:rsidR="00F078A6" w:rsidRPr="006D5348">
        <w:rPr>
          <w:bCs/>
          <w:i/>
          <w:strike w:val="0"/>
          <w:color w:val="231F20"/>
        </w:rPr>
        <w:t xml:space="preserve">on the form </w:t>
      </w:r>
      <w:r w:rsidR="00626D33" w:rsidRPr="006D5348">
        <w:rPr>
          <w:bCs/>
          <w:i/>
          <w:strike w:val="0"/>
          <w:color w:val="231F20"/>
        </w:rPr>
        <w:t>the “MPN Contact</w:t>
      </w:r>
      <w:r w:rsidR="00626D33">
        <w:rPr>
          <w:bCs/>
          <w:i/>
          <w:strike w:val="0"/>
          <w:color w:val="231F20"/>
        </w:rPr>
        <w:t xml:space="preserve"> Information</w:t>
      </w:r>
      <w:r w:rsidR="00626D33" w:rsidRPr="006D5348">
        <w:rPr>
          <w:bCs/>
          <w:i/>
          <w:strike w:val="0"/>
          <w:color w:val="231F20"/>
        </w:rPr>
        <w:t>” to “MPN Applicant</w:t>
      </w:r>
      <w:r w:rsidR="00626D33">
        <w:rPr>
          <w:bCs/>
          <w:i/>
          <w:strike w:val="0"/>
          <w:color w:val="231F20"/>
        </w:rPr>
        <w:t xml:space="preserve"> Information</w:t>
      </w:r>
      <w:r w:rsidR="00626D33" w:rsidRPr="006D5348">
        <w:rPr>
          <w:bCs/>
          <w:i/>
          <w:strike w:val="0"/>
          <w:color w:val="231F20"/>
        </w:rPr>
        <w:t xml:space="preserve">” </w:t>
      </w:r>
      <w:r w:rsidR="00626D33">
        <w:rPr>
          <w:bCs/>
          <w:i/>
          <w:strike w:val="0"/>
          <w:color w:val="231F20"/>
        </w:rPr>
        <w:t xml:space="preserve">and </w:t>
      </w:r>
      <w:r w:rsidR="00F078A6">
        <w:rPr>
          <w:bCs/>
          <w:i/>
          <w:strike w:val="0"/>
          <w:color w:val="231F20"/>
        </w:rPr>
        <w:t xml:space="preserve">the </w:t>
      </w:r>
      <w:r w:rsidR="00626D33">
        <w:rPr>
          <w:bCs/>
          <w:i/>
          <w:strike w:val="0"/>
          <w:color w:val="231F20"/>
        </w:rPr>
        <w:t xml:space="preserve">subsequent </w:t>
      </w:r>
      <w:r w:rsidR="00F078A6">
        <w:rPr>
          <w:bCs/>
          <w:i/>
          <w:strike w:val="0"/>
          <w:color w:val="231F20"/>
        </w:rPr>
        <w:t>references to</w:t>
      </w:r>
      <w:r w:rsidRPr="006D5348">
        <w:rPr>
          <w:bCs/>
          <w:i/>
          <w:strike w:val="0"/>
          <w:color w:val="231F20"/>
        </w:rPr>
        <w:t xml:space="preserve"> “MPN Contact” to “MPN Applicant</w:t>
      </w:r>
      <w:r w:rsidR="00F078A6">
        <w:rPr>
          <w:bCs/>
          <w:i/>
          <w:strike w:val="0"/>
          <w:color w:val="231F20"/>
        </w:rPr>
        <w:t xml:space="preserve"> Liaison</w:t>
      </w:r>
      <w:r w:rsidR="006D5348" w:rsidRPr="006D5348">
        <w:rPr>
          <w:bCs/>
          <w:i/>
          <w:strike w:val="0"/>
          <w:color w:val="231F20"/>
        </w:rPr>
        <w:t>”</w:t>
      </w:r>
      <w:r w:rsidRPr="006D5348">
        <w:rPr>
          <w:bCs/>
          <w:i/>
          <w:strike w:val="0"/>
          <w:color w:val="231F20"/>
        </w:rPr>
        <w:t xml:space="preserve"> </w:t>
      </w:r>
      <w:r w:rsidR="006D5348">
        <w:rPr>
          <w:bCs/>
          <w:i/>
          <w:strike w:val="0"/>
          <w:color w:val="231F20"/>
        </w:rPr>
        <w:t xml:space="preserve">as </w:t>
      </w:r>
      <w:r w:rsidR="00FF07CE">
        <w:rPr>
          <w:bCs/>
          <w:i/>
          <w:strike w:val="0"/>
          <w:color w:val="231F20"/>
        </w:rPr>
        <w:t>any such petition should go directly to the MPN applicant.</w:t>
      </w:r>
    </w:p>
    <w:p w:rsidR="000703D0" w:rsidRDefault="000703D0" w:rsidP="00724B76">
      <w:pPr>
        <w:adjustRightInd w:val="0"/>
        <w:rPr>
          <w:strike w:val="0"/>
          <w:color w:val="231F20"/>
        </w:rPr>
      </w:pPr>
    </w:p>
    <w:p w:rsidR="003702BF" w:rsidRDefault="00724B76" w:rsidP="00724B76">
      <w:pPr>
        <w:adjustRightInd w:val="0"/>
        <w:rPr>
          <w:strike w:val="0"/>
          <w:color w:val="231F20"/>
        </w:rPr>
      </w:pPr>
      <w:r>
        <w:rPr>
          <w:strike w:val="0"/>
          <w:color w:val="231F20"/>
        </w:rPr>
        <w:t xml:space="preserve">The MPN has systematically failed to meet MPN access standards pursuant to section 9767.5 on more than </w:t>
      </w:r>
      <w:proofErr w:type="spellStart"/>
      <w:r w:rsidRPr="00724B76">
        <w:rPr>
          <w:color w:val="231F20"/>
          <w:highlight w:val="yellow"/>
        </w:rPr>
        <w:t>one</w:t>
      </w:r>
      <w:r w:rsidRPr="00724B76">
        <w:rPr>
          <w:strike w:val="0"/>
          <w:color w:val="231F20"/>
          <w:highlight w:val="yellow"/>
          <w:u w:val="single"/>
        </w:rPr>
        <w:t>two</w:t>
      </w:r>
      <w:proofErr w:type="spellEnd"/>
      <w:r>
        <w:rPr>
          <w:strike w:val="0"/>
          <w:color w:val="231F20"/>
        </w:rPr>
        <w:t xml:space="preserve"> occasion</w:t>
      </w:r>
      <w:r w:rsidRPr="00724B76">
        <w:rPr>
          <w:strike w:val="0"/>
          <w:color w:val="231F20"/>
          <w:highlight w:val="yellow"/>
          <w:u w:val="single"/>
        </w:rPr>
        <w:t>s</w:t>
      </w:r>
      <w:r>
        <w:rPr>
          <w:strike w:val="0"/>
          <w:color w:val="231F20"/>
        </w:rPr>
        <w:t xml:space="preserve"> in at least </w:t>
      </w:r>
      <w:proofErr w:type="spellStart"/>
      <w:r w:rsidRPr="00724B76">
        <w:rPr>
          <w:color w:val="231F20"/>
          <w:highlight w:val="yellow"/>
        </w:rPr>
        <w:t>two</w:t>
      </w:r>
      <w:r w:rsidRPr="00724B76">
        <w:rPr>
          <w:strike w:val="0"/>
          <w:color w:val="231F20"/>
          <w:highlight w:val="yellow"/>
          <w:u w:val="single"/>
        </w:rPr>
        <w:t>three</w:t>
      </w:r>
      <w:proofErr w:type="spellEnd"/>
      <w:r>
        <w:rPr>
          <w:strike w:val="0"/>
          <w:color w:val="231F20"/>
        </w:rPr>
        <w:t xml:space="preserve"> specific access locations within the MPN geographic service area. Each failure resulted in a worker being unable to obtain necessary treatment after the MPN has had a reasonable opportunity to remedy the access failure for each occasion and location.</w:t>
      </w:r>
    </w:p>
    <w:p w:rsidR="00724B76" w:rsidRDefault="00724B76" w:rsidP="00724B76">
      <w:pPr>
        <w:adjustRightInd w:val="0"/>
        <w:rPr>
          <w:strike w:val="0"/>
          <w:color w:val="231F20"/>
        </w:rPr>
      </w:pPr>
    </w:p>
    <w:p w:rsidR="00724B76" w:rsidRPr="003C6B39" w:rsidRDefault="00724B76" w:rsidP="00724B76">
      <w:pPr>
        <w:overflowPunct w:val="0"/>
        <w:adjustRightInd w:val="0"/>
        <w:ind w:left="720"/>
        <w:textAlignment w:val="baseline"/>
        <w:rPr>
          <w:i/>
          <w:strike w:val="0"/>
        </w:rPr>
      </w:pPr>
      <w:r>
        <w:rPr>
          <w:i/>
          <w:strike w:val="0"/>
        </w:rPr>
        <w:t>The Institute recommends these modifications to the form</w:t>
      </w:r>
      <w:r w:rsidR="002B4F2F">
        <w:rPr>
          <w:i/>
          <w:strike w:val="0"/>
        </w:rPr>
        <w:t xml:space="preserve"> </w:t>
      </w:r>
      <w:r w:rsidR="0037672C">
        <w:rPr>
          <w:i/>
          <w:strike w:val="0"/>
        </w:rPr>
        <w:t>because a</w:t>
      </w:r>
      <w:r>
        <w:rPr>
          <w:i/>
          <w:strike w:val="0"/>
        </w:rPr>
        <w:t xml:space="preserve"> petition should show </w:t>
      </w:r>
      <w:r>
        <w:rPr>
          <w:bCs/>
          <w:i/>
          <w:strike w:val="0"/>
        </w:rPr>
        <w:t>a failure to both provide necessary treatment within the MPN and to authorize it out of network on at least three</w:t>
      </w:r>
      <w:r w:rsidRPr="00586759">
        <w:rPr>
          <w:bCs/>
          <w:i/>
          <w:strike w:val="0"/>
        </w:rPr>
        <w:t xml:space="preserve"> occasions </w:t>
      </w:r>
      <w:r>
        <w:rPr>
          <w:bCs/>
          <w:i/>
          <w:strike w:val="0"/>
        </w:rPr>
        <w:t xml:space="preserve">in three </w:t>
      </w:r>
      <w:r w:rsidRPr="00586759">
        <w:rPr>
          <w:bCs/>
          <w:i/>
          <w:strike w:val="0"/>
        </w:rPr>
        <w:t>locations</w:t>
      </w:r>
      <w:r w:rsidR="002B4F2F">
        <w:rPr>
          <w:bCs/>
          <w:i/>
          <w:strike w:val="0"/>
        </w:rPr>
        <w:t>, a</w:t>
      </w:r>
      <w:r w:rsidR="002B4F2F">
        <w:rPr>
          <w:i/>
          <w:strike w:val="0"/>
        </w:rPr>
        <w:t xml:space="preserve">s discussed in the comments on section </w:t>
      </w:r>
      <w:r w:rsidR="002B4F2F" w:rsidRPr="002B4F2F">
        <w:rPr>
          <w:i/>
          <w:strike w:val="0"/>
        </w:rPr>
        <w:t xml:space="preserve">9767.17 </w:t>
      </w:r>
      <w:r w:rsidR="002B4F2F">
        <w:rPr>
          <w:i/>
          <w:strike w:val="0"/>
        </w:rPr>
        <w:t>(a</w:t>
      </w:r>
      <w:proofErr w:type="gramStart"/>
      <w:r w:rsidR="002B4F2F">
        <w:rPr>
          <w:i/>
          <w:strike w:val="0"/>
        </w:rPr>
        <w:t>)(</w:t>
      </w:r>
      <w:proofErr w:type="gramEnd"/>
      <w:r w:rsidR="002B4F2F">
        <w:rPr>
          <w:i/>
          <w:strike w:val="0"/>
        </w:rPr>
        <w:t>2).</w:t>
      </w:r>
    </w:p>
    <w:p w:rsidR="00724B76" w:rsidRPr="00724B76" w:rsidRDefault="00724B76" w:rsidP="00724B76">
      <w:pPr>
        <w:adjustRightInd w:val="0"/>
        <w:ind w:left="720"/>
        <w:rPr>
          <w:i/>
          <w:strike w:val="0"/>
          <w:color w:val="231F20"/>
        </w:rPr>
      </w:pPr>
    </w:p>
    <w:p w:rsidR="008261A9" w:rsidRPr="00EF29A0" w:rsidRDefault="008261A9" w:rsidP="00E63BAE">
      <w:pPr>
        <w:overflowPunct w:val="0"/>
        <w:adjustRightInd w:val="0"/>
        <w:spacing w:before="240"/>
        <w:textAlignment w:val="baseline"/>
        <w:rPr>
          <w:b/>
          <w:strike w:val="0"/>
        </w:rPr>
      </w:pPr>
      <w:r w:rsidRPr="00EF29A0">
        <w:rPr>
          <w:b/>
          <w:strike w:val="0"/>
        </w:rPr>
        <w:t>Section 9767.18 Random Reviews</w:t>
      </w:r>
    </w:p>
    <w:p w:rsidR="00CE20F4" w:rsidRPr="00CE20F4" w:rsidRDefault="002858A3" w:rsidP="00CE20F4">
      <w:pPr>
        <w:overflowPunct w:val="0"/>
        <w:adjustRightInd w:val="0"/>
        <w:spacing w:before="240"/>
        <w:jc w:val="both"/>
        <w:rPr>
          <w:strike w:val="0"/>
        </w:rPr>
      </w:pPr>
      <w:r>
        <w:rPr>
          <w:strike w:val="0"/>
        </w:rPr>
        <w:t>(a)</w:t>
      </w:r>
      <w:r w:rsidR="00CE20F4" w:rsidRPr="00CE20F4">
        <w:rPr>
          <w:strike w:val="0"/>
        </w:rPr>
        <w:t xml:space="preserve">(1)  An MPN will not be randomly reviewed more than once in a </w:t>
      </w:r>
      <w:proofErr w:type="spellStart"/>
      <w:r w:rsidR="00CE20F4" w:rsidRPr="00CE20F4">
        <w:rPr>
          <w:highlight w:val="yellow"/>
        </w:rPr>
        <w:t>two</w:t>
      </w:r>
      <w:r w:rsidR="00CE20F4" w:rsidRPr="00CE20F4">
        <w:rPr>
          <w:strike w:val="0"/>
          <w:highlight w:val="yellow"/>
          <w:u w:val="single"/>
        </w:rPr>
        <w:t>five</w:t>
      </w:r>
      <w:proofErr w:type="spellEnd"/>
      <w:r w:rsidR="00CE20F4" w:rsidRPr="00CE20F4">
        <w:rPr>
          <w:strike w:val="0"/>
        </w:rPr>
        <w:t xml:space="preserve">-year period.  However, an MPN may be subject to investigation for good cause.   </w:t>
      </w:r>
    </w:p>
    <w:p w:rsidR="00CE20F4" w:rsidRDefault="00CE20F4" w:rsidP="00CE20F4">
      <w:pPr>
        <w:overflowPunct w:val="0"/>
        <w:adjustRightInd w:val="0"/>
        <w:spacing w:before="240"/>
        <w:ind w:left="720"/>
        <w:textAlignment w:val="baseline"/>
        <w:rPr>
          <w:i/>
          <w:strike w:val="0"/>
        </w:rPr>
      </w:pPr>
      <w:r w:rsidRPr="00CE20F4">
        <w:rPr>
          <w:i/>
          <w:strike w:val="0"/>
        </w:rPr>
        <w:t xml:space="preserve">Random </w:t>
      </w:r>
      <w:r>
        <w:rPr>
          <w:i/>
          <w:strike w:val="0"/>
        </w:rPr>
        <w:t xml:space="preserve">MPN </w:t>
      </w:r>
      <w:r w:rsidRPr="00CE20F4">
        <w:rPr>
          <w:i/>
          <w:strike w:val="0"/>
        </w:rPr>
        <w:t xml:space="preserve">reviews </w:t>
      </w:r>
      <w:r>
        <w:rPr>
          <w:i/>
          <w:strike w:val="0"/>
        </w:rPr>
        <w:t>should occur in concert with and no more frequently than Claims PAR audits.</w:t>
      </w:r>
      <w:r w:rsidRPr="00CE20F4">
        <w:rPr>
          <w:i/>
          <w:strike w:val="0"/>
        </w:rPr>
        <w:t xml:space="preserve"> </w:t>
      </w:r>
    </w:p>
    <w:p w:rsidR="002858A3" w:rsidRPr="002858A3" w:rsidRDefault="002858A3" w:rsidP="00E77F67">
      <w:pPr>
        <w:overflowPunct w:val="0"/>
        <w:adjustRightInd w:val="0"/>
        <w:spacing w:before="240"/>
        <w:rPr>
          <w:dstrike/>
        </w:rPr>
      </w:pPr>
      <w:r w:rsidRPr="00890326">
        <w:rPr>
          <w:highlight w:val="yellow"/>
        </w:rPr>
        <w:t>(a)(2)(B)</w:t>
      </w:r>
      <w:r w:rsidRPr="002858A3">
        <w:rPr>
          <w:highlight w:val="yellow"/>
        </w:rPr>
        <w:t>(ii)  A complete copy of the MPN’s most recent approved plan submission (new MPN application, reapproval plan or modification) including a copy of the most recent employee notification and MPN notices given to covered employees, and/or a listing of all plan filings to date after the effective date of this section.</w:t>
      </w:r>
    </w:p>
    <w:p w:rsidR="00601B4C" w:rsidRDefault="00601B4C" w:rsidP="00E63BAE">
      <w:pPr>
        <w:overflowPunct w:val="0"/>
        <w:adjustRightInd w:val="0"/>
        <w:spacing w:before="240"/>
        <w:ind w:left="720"/>
        <w:textAlignment w:val="baseline"/>
        <w:rPr>
          <w:i/>
          <w:strike w:val="0"/>
        </w:rPr>
      </w:pPr>
      <w:r w:rsidRPr="00EF29A0">
        <w:rPr>
          <w:i/>
          <w:strike w:val="0"/>
        </w:rPr>
        <w:t>It is not necessary to provide the most recent approved plan submission</w:t>
      </w:r>
      <w:r w:rsidR="0082761B">
        <w:rPr>
          <w:i/>
          <w:strike w:val="0"/>
        </w:rPr>
        <w:t>, cover page and all attachments</w:t>
      </w:r>
      <w:r w:rsidR="00014FCF" w:rsidRPr="00EF29A0">
        <w:rPr>
          <w:i/>
          <w:strike w:val="0"/>
        </w:rPr>
        <w:t xml:space="preserve"> as the</w:t>
      </w:r>
      <w:r w:rsidRPr="00EF29A0">
        <w:rPr>
          <w:i/>
          <w:strike w:val="0"/>
        </w:rPr>
        <w:t xml:space="preserve"> Division already has</w:t>
      </w:r>
      <w:r w:rsidR="00014FCF" w:rsidRPr="00EF29A0">
        <w:rPr>
          <w:i/>
          <w:strike w:val="0"/>
        </w:rPr>
        <w:t xml:space="preserve"> </w:t>
      </w:r>
      <w:r w:rsidR="0082761B">
        <w:rPr>
          <w:i/>
          <w:strike w:val="0"/>
        </w:rPr>
        <w:t>them</w:t>
      </w:r>
      <w:r w:rsidR="00014FCF" w:rsidRPr="00EF29A0">
        <w:rPr>
          <w:i/>
          <w:strike w:val="0"/>
        </w:rPr>
        <w:t xml:space="preserve"> in its possession</w:t>
      </w:r>
      <w:r w:rsidRPr="00EF29A0">
        <w:rPr>
          <w:i/>
          <w:strike w:val="0"/>
        </w:rPr>
        <w:t>.</w:t>
      </w:r>
    </w:p>
    <w:p w:rsidR="00890326" w:rsidRPr="00890326" w:rsidRDefault="00890326" w:rsidP="00E77F67">
      <w:pPr>
        <w:overflowPunct w:val="0"/>
        <w:adjustRightInd w:val="0"/>
        <w:spacing w:before="240"/>
        <w:rPr>
          <w:strike w:val="0"/>
          <w:dstrike/>
        </w:rPr>
      </w:pPr>
      <w:r w:rsidRPr="00041951">
        <w:rPr>
          <w:strike w:val="0"/>
        </w:rPr>
        <w:t>(a)(2)(B)</w:t>
      </w:r>
      <w:r w:rsidRPr="00890326">
        <w:rPr>
          <w:strike w:val="0"/>
        </w:rPr>
        <w:t>(iii)  A copy of the most recent network provider listing, the URL address of the MPN’s network provider listing, documentary evidence of quarterly updates to the provider listing for the past year and documentary evidence of timely corrections to the provider listing for inaccuracies reported to the MPN</w:t>
      </w:r>
      <w:r w:rsidRPr="00890326">
        <w:t xml:space="preserve"> </w:t>
      </w:r>
      <w:r w:rsidRPr="00890326">
        <w:rPr>
          <w:highlight w:val="yellow"/>
        </w:rPr>
        <w:t xml:space="preserve">within a reasonable time </w:t>
      </w:r>
      <w:r w:rsidRPr="00DB08B3">
        <w:rPr>
          <w:highlight w:val="yellow"/>
        </w:rPr>
        <w:t>period</w:t>
      </w:r>
      <w:r w:rsidR="00DB08B3" w:rsidRPr="00DB08B3">
        <w:rPr>
          <w:highlight w:val="yellow"/>
          <w:u w:val="single"/>
        </w:rPr>
        <w:t xml:space="preserve"> </w:t>
      </w:r>
      <w:r w:rsidR="00DB08B3" w:rsidRPr="00DB08B3">
        <w:rPr>
          <w:strike w:val="0"/>
          <w:highlight w:val="yellow"/>
          <w:u w:val="single"/>
        </w:rPr>
        <w:t>through the contact method stated on the provider directory listing to report inaccuracies</w:t>
      </w:r>
      <w:r w:rsidRPr="00890326">
        <w:rPr>
          <w:strike w:val="0"/>
        </w:rPr>
        <w:t xml:space="preserve">. </w:t>
      </w:r>
    </w:p>
    <w:p w:rsidR="00890326" w:rsidRPr="00890326" w:rsidRDefault="00890326" w:rsidP="00890326">
      <w:pPr>
        <w:overflowPunct w:val="0"/>
        <w:adjustRightInd w:val="0"/>
        <w:spacing w:before="240"/>
        <w:ind w:left="720"/>
        <w:textAlignment w:val="baseline"/>
        <w:rPr>
          <w:i/>
          <w:strike w:val="0"/>
        </w:rPr>
      </w:pPr>
      <w:r>
        <w:rPr>
          <w:i/>
          <w:strike w:val="0"/>
        </w:rPr>
        <w:t>This modi</w:t>
      </w:r>
      <w:r w:rsidR="00087312">
        <w:rPr>
          <w:i/>
          <w:strike w:val="0"/>
        </w:rPr>
        <w:t>fication is make this consistent with the requirements in 9767.1</w:t>
      </w:r>
      <w:r w:rsidR="00906179">
        <w:rPr>
          <w:i/>
          <w:strike w:val="0"/>
        </w:rPr>
        <w:t>2</w:t>
      </w:r>
      <w:r w:rsidR="00087312">
        <w:rPr>
          <w:i/>
          <w:strike w:val="0"/>
        </w:rPr>
        <w:t>(a</w:t>
      </w:r>
      <w:proofErr w:type="gramStart"/>
      <w:r w:rsidR="00087312">
        <w:rPr>
          <w:i/>
          <w:strike w:val="0"/>
        </w:rPr>
        <w:t>)(</w:t>
      </w:r>
      <w:proofErr w:type="gramEnd"/>
      <w:r w:rsidR="00087312">
        <w:rPr>
          <w:i/>
          <w:strike w:val="0"/>
        </w:rPr>
        <w:t>2)(C)</w:t>
      </w:r>
      <w:r w:rsidR="002914DD">
        <w:rPr>
          <w:i/>
          <w:strike w:val="0"/>
        </w:rPr>
        <w:t xml:space="preserve"> where the </w:t>
      </w:r>
      <w:r w:rsidR="00DB08B3">
        <w:rPr>
          <w:i/>
          <w:strike w:val="0"/>
        </w:rPr>
        <w:t xml:space="preserve">contact method and </w:t>
      </w:r>
      <w:r w:rsidR="002914DD">
        <w:rPr>
          <w:i/>
          <w:strike w:val="0"/>
        </w:rPr>
        <w:t xml:space="preserve">period for response </w:t>
      </w:r>
      <w:r w:rsidR="00DB08B3">
        <w:rPr>
          <w:i/>
          <w:strike w:val="0"/>
        </w:rPr>
        <w:t>are</w:t>
      </w:r>
      <w:r w:rsidR="002914DD">
        <w:rPr>
          <w:i/>
          <w:strike w:val="0"/>
        </w:rPr>
        <w:t xml:space="preserve"> specified.</w:t>
      </w:r>
      <w:r w:rsidR="00087312">
        <w:rPr>
          <w:i/>
          <w:strike w:val="0"/>
        </w:rPr>
        <w:t xml:space="preserve"> </w:t>
      </w:r>
    </w:p>
    <w:p w:rsidR="00C905D1" w:rsidRPr="00C905D1" w:rsidRDefault="00C905D1" w:rsidP="00E77F67">
      <w:pPr>
        <w:overflowPunct w:val="0"/>
        <w:adjustRightInd w:val="0"/>
        <w:spacing w:before="240"/>
        <w:rPr>
          <w:highlight w:val="yellow"/>
        </w:rPr>
      </w:pPr>
      <w:r>
        <w:rPr>
          <w:strike w:val="0"/>
        </w:rPr>
        <w:t>(a)(2)(B)</w:t>
      </w:r>
      <w:proofErr w:type="gramStart"/>
      <w:r w:rsidRPr="00C905D1">
        <w:rPr>
          <w:strike w:val="0"/>
        </w:rPr>
        <w:t>(iv</w:t>
      </w:r>
      <w:r>
        <w:rPr>
          <w:strike w:val="0"/>
        </w:rPr>
        <w:t xml:space="preserve">) </w:t>
      </w:r>
      <w:r w:rsidRPr="00C905D1">
        <w:rPr>
          <w:strike w:val="0"/>
        </w:rPr>
        <w:t>A</w:t>
      </w:r>
      <w:proofErr w:type="gramEnd"/>
      <w:r w:rsidRPr="00C905D1">
        <w:rPr>
          <w:strike w:val="0"/>
        </w:rPr>
        <w:t xml:space="preserve"> copy of any MPN complaints or petitions for suspension or revocation received by the MPN and the MPN’s responses.  </w:t>
      </w:r>
      <w:r w:rsidRPr="00C905D1">
        <w:rPr>
          <w:highlight w:val="yellow"/>
        </w:rPr>
        <w:t>In addition, documentation of any administrative actions taken by the Administrative Director against the MPN within a reasonable time period may be requested.</w:t>
      </w:r>
    </w:p>
    <w:p w:rsidR="00C905D1" w:rsidRPr="00C905D1" w:rsidRDefault="00C905D1" w:rsidP="00C905D1">
      <w:pPr>
        <w:overflowPunct w:val="0"/>
        <w:adjustRightInd w:val="0"/>
        <w:spacing w:before="240"/>
        <w:ind w:left="720"/>
        <w:rPr>
          <w:i/>
          <w:strike w:val="0"/>
          <w:highlight w:val="yellow"/>
        </w:rPr>
      </w:pPr>
      <w:r w:rsidRPr="00C905D1">
        <w:rPr>
          <w:i/>
          <w:strike w:val="0"/>
          <w:highlight w:val="yellow"/>
        </w:rPr>
        <w:lastRenderedPageBreak/>
        <w:t>This is not necessary because it is already in the possession of the Administrative Director.</w:t>
      </w:r>
    </w:p>
    <w:p w:rsidR="002858A3" w:rsidRPr="002858A3" w:rsidRDefault="002858A3" w:rsidP="00E77F67">
      <w:pPr>
        <w:overflowPunct w:val="0"/>
        <w:adjustRightInd w:val="0"/>
        <w:spacing w:before="240"/>
      </w:pPr>
      <w:r w:rsidRPr="00890326">
        <w:rPr>
          <w:highlight w:val="yellow"/>
        </w:rPr>
        <w:t>(a)(2)(B)</w:t>
      </w:r>
      <w:r w:rsidRPr="002858A3">
        <w:rPr>
          <w:highlight w:val="yellow"/>
        </w:rPr>
        <w:t>(v)  A copy of the telephone call logs tracking the calls and the contents of the calls made to and by the MPN medical access assistants and the MPN Contact within a reasonable time period.</w:t>
      </w:r>
    </w:p>
    <w:p w:rsidR="008261A9" w:rsidRPr="00EF29A0" w:rsidRDefault="00414102" w:rsidP="00E63BAE">
      <w:pPr>
        <w:overflowPunct w:val="0"/>
        <w:adjustRightInd w:val="0"/>
        <w:spacing w:before="240"/>
        <w:ind w:left="720"/>
        <w:textAlignment w:val="baseline"/>
        <w:rPr>
          <w:i/>
          <w:strike w:val="0"/>
        </w:rPr>
      </w:pPr>
      <w:r>
        <w:rPr>
          <w:i/>
          <w:strike w:val="0"/>
        </w:rPr>
        <w:t>T</w:t>
      </w:r>
      <w:r w:rsidR="008261A9" w:rsidRPr="00EF29A0">
        <w:rPr>
          <w:i/>
          <w:strike w:val="0"/>
        </w:rPr>
        <w:t>elephone log</w:t>
      </w:r>
      <w:r>
        <w:rPr>
          <w:i/>
          <w:strike w:val="0"/>
        </w:rPr>
        <w:t>s are</w:t>
      </w:r>
      <w:r w:rsidR="008261A9" w:rsidRPr="00EF29A0">
        <w:rPr>
          <w:i/>
          <w:strike w:val="0"/>
        </w:rPr>
        <w:t xml:space="preserve"> not, and should not be required.</w:t>
      </w:r>
      <w:r w:rsidR="003F330B">
        <w:rPr>
          <w:i/>
          <w:strike w:val="0"/>
        </w:rPr>
        <w:t xml:space="preserve">  If reference to telephone</w:t>
      </w:r>
      <w:r w:rsidR="00095789">
        <w:rPr>
          <w:i/>
          <w:strike w:val="0"/>
        </w:rPr>
        <w:t xml:space="preserve"> </w:t>
      </w:r>
      <w:r>
        <w:rPr>
          <w:i/>
          <w:strike w:val="0"/>
        </w:rPr>
        <w:t xml:space="preserve">logs </w:t>
      </w:r>
      <w:r w:rsidR="00095789">
        <w:rPr>
          <w:i/>
          <w:strike w:val="0"/>
        </w:rPr>
        <w:t>remain</w:t>
      </w:r>
      <w:r w:rsidR="00581BDB">
        <w:rPr>
          <w:i/>
          <w:strike w:val="0"/>
        </w:rPr>
        <w:t>s</w:t>
      </w:r>
      <w:r w:rsidR="00095789">
        <w:rPr>
          <w:i/>
          <w:strike w:val="0"/>
        </w:rPr>
        <w:t xml:space="preserve"> there must be clarification that </w:t>
      </w:r>
      <w:r w:rsidR="00581BDB">
        <w:rPr>
          <w:i/>
          <w:strike w:val="0"/>
        </w:rPr>
        <w:t>telephone logs are</w:t>
      </w:r>
      <w:r w:rsidR="00095789">
        <w:rPr>
          <w:i/>
          <w:strike w:val="0"/>
        </w:rPr>
        <w:t xml:space="preserve"> optional, not required.</w:t>
      </w:r>
    </w:p>
    <w:p w:rsidR="00F071CF" w:rsidRDefault="00F071CF" w:rsidP="00112258">
      <w:pPr>
        <w:overflowPunct w:val="0"/>
        <w:adjustRightInd w:val="0"/>
        <w:textAlignment w:val="baseline"/>
        <w:rPr>
          <w:b/>
          <w:strike w:val="0"/>
        </w:rPr>
      </w:pPr>
    </w:p>
    <w:p w:rsidR="00112258" w:rsidRDefault="00112258" w:rsidP="00112258">
      <w:pPr>
        <w:overflowPunct w:val="0"/>
        <w:adjustRightInd w:val="0"/>
        <w:textAlignment w:val="baseline"/>
        <w:rPr>
          <w:b/>
          <w:strike w:val="0"/>
        </w:rPr>
      </w:pPr>
    </w:p>
    <w:p w:rsidR="008261A9" w:rsidRPr="00EF29A0" w:rsidRDefault="008261A9" w:rsidP="00112258">
      <w:pPr>
        <w:overflowPunct w:val="0"/>
        <w:adjustRightInd w:val="0"/>
        <w:textAlignment w:val="baseline"/>
        <w:rPr>
          <w:b/>
          <w:strike w:val="0"/>
        </w:rPr>
      </w:pPr>
      <w:r w:rsidRPr="00EF29A0">
        <w:rPr>
          <w:b/>
          <w:strike w:val="0"/>
        </w:rPr>
        <w:t>Section 9767.19 Administrative Penalty Schedule; Hearing</w:t>
      </w:r>
      <w:r w:rsidR="002631FC">
        <w:rPr>
          <w:b/>
          <w:strike w:val="0"/>
        </w:rPr>
        <w:t>, Mitigation and Appeal</w:t>
      </w:r>
    </w:p>
    <w:p w:rsidR="00E77FFC" w:rsidRDefault="00E77FFC" w:rsidP="007E1B26">
      <w:pPr>
        <w:autoSpaceDE/>
        <w:autoSpaceDN/>
        <w:ind w:left="720"/>
        <w:rPr>
          <w:i/>
          <w:strike w:val="0"/>
        </w:rPr>
      </w:pPr>
    </w:p>
    <w:p w:rsidR="007E1B26" w:rsidRPr="007E1B26" w:rsidRDefault="007E1B26" w:rsidP="007E1B26">
      <w:pPr>
        <w:autoSpaceDE/>
        <w:autoSpaceDN/>
        <w:ind w:left="720"/>
        <w:rPr>
          <w:i/>
          <w:strike w:val="0"/>
        </w:rPr>
      </w:pPr>
      <w:r w:rsidRPr="007E1B26">
        <w:rPr>
          <w:i/>
          <w:strike w:val="0"/>
        </w:rPr>
        <w:t xml:space="preserve">The proposed penalty </w:t>
      </w:r>
      <w:proofErr w:type="gramStart"/>
      <w:r w:rsidRPr="007E1B26">
        <w:rPr>
          <w:i/>
          <w:strike w:val="0"/>
        </w:rPr>
        <w:t>scheme contained in the proposed regulations restrict</w:t>
      </w:r>
      <w:proofErr w:type="gramEnd"/>
      <w:r w:rsidRPr="007E1B26">
        <w:rPr>
          <w:i/>
          <w:strike w:val="0"/>
        </w:rPr>
        <w:t xml:space="preserve"> the scope of statute authorizing the creation and use of Medical Provider Networks.  The problem, simply stated, is that the threat of excessive access standards and penalties will curtail legitimate network operations that the statute permits.</w:t>
      </w:r>
    </w:p>
    <w:p w:rsidR="007E1B26" w:rsidRPr="007E1B26" w:rsidRDefault="007E1B26" w:rsidP="007E1B26">
      <w:pPr>
        <w:autoSpaceDE/>
        <w:autoSpaceDN/>
        <w:ind w:left="720"/>
        <w:rPr>
          <w:i/>
          <w:strike w:val="0"/>
        </w:rPr>
      </w:pPr>
    </w:p>
    <w:p w:rsidR="00E77FFC" w:rsidRPr="00DB77FD" w:rsidRDefault="00E77FFC" w:rsidP="00DB77FD">
      <w:pPr>
        <w:autoSpaceDE/>
        <w:autoSpaceDN/>
        <w:ind w:left="720"/>
        <w:rPr>
          <w:i/>
          <w:strike w:val="0"/>
        </w:rPr>
      </w:pPr>
      <w:r w:rsidRPr="00DB77FD">
        <w:rPr>
          <w:i/>
          <w:strike w:val="0"/>
        </w:rPr>
        <w:t xml:space="preserve">While the enabling statute clearly allows the AD to enforce the statutory provisions and the implementing regulations with administrative penalties, the Institute is concerned that an overly aggressive penalty structure will cause legitimate MPNs to drop out of the workers' compensation system and prevent medical networks from using the statutory tools that the Legislature provided to achieve the highest quality of care.  The networks will not want run the risk of incurring excessive and unreasonable penalties.  Physician network access standards that dilute network quality and the penalty provisions taken together threaten to terminate the effective use of MPNs and reverse, by regulatory fiat, the Legislature’s social policy decision to allow employers to control medical care through the use of Medical Provider Networks.  </w:t>
      </w:r>
    </w:p>
    <w:p w:rsidR="00E77FFC" w:rsidRPr="00DB77FD" w:rsidRDefault="00E77FFC" w:rsidP="00DB77FD">
      <w:pPr>
        <w:autoSpaceDE/>
        <w:autoSpaceDN/>
        <w:ind w:left="720"/>
        <w:rPr>
          <w:i/>
          <w:strike w:val="0"/>
        </w:rPr>
      </w:pPr>
    </w:p>
    <w:p w:rsidR="00E77FFC" w:rsidRPr="00DB77FD" w:rsidRDefault="00E77FFC" w:rsidP="00DB77FD">
      <w:pPr>
        <w:autoSpaceDE/>
        <w:autoSpaceDN/>
        <w:ind w:left="720"/>
        <w:rPr>
          <w:i/>
          <w:strike w:val="0"/>
        </w:rPr>
      </w:pPr>
      <w:r w:rsidRPr="00DB77FD">
        <w:rPr>
          <w:i/>
          <w:strike w:val="0"/>
        </w:rPr>
        <w:t xml:space="preserve">The art of crafting proper regulations requires that the state agency focus on the provisions of the statute.  </w:t>
      </w:r>
      <w:r w:rsidR="00DB77FD">
        <w:rPr>
          <w:i/>
          <w:strike w:val="0"/>
        </w:rPr>
        <w:t>As is true of all regulations</w:t>
      </w:r>
      <w:r w:rsidRPr="00DB77FD">
        <w:rPr>
          <w:i/>
          <w:strike w:val="0"/>
        </w:rPr>
        <w:t>, the Division of Workers’ Compensation (DWC) must implement, interpret, and make specific the statutory provisions of Labor Code section 4616.  The resulting regulations must be consistent with and not in conflict with the statute and reasonably necessary to effectuate the purpose of the statute.</w:t>
      </w:r>
    </w:p>
    <w:p w:rsidR="00E77FFC" w:rsidRPr="00DB77FD" w:rsidRDefault="00E77FFC" w:rsidP="00DB77FD">
      <w:pPr>
        <w:autoSpaceDE/>
        <w:autoSpaceDN/>
        <w:ind w:left="720"/>
        <w:rPr>
          <w:i/>
          <w:strike w:val="0"/>
        </w:rPr>
      </w:pPr>
    </w:p>
    <w:p w:rsidR="00E77FFC" w:rsidRPr="00DB77FD" w:rsidRDefault="00E77FFC" w:rsidP="00DB77FD">
      <w:pPr>
        <w:autoSpaceDE/>
        <w:autoSpaceDN/>
        <w:ind w:left="720"/>
        <w:rPr>
          <w:i/>
          <w:strike w:val="0"/>
        </w:rPr>
      </w:pPr>
      <w:r w:rsidRPr="00DB77FD">
        <w:rPr>
          <w:i/>
          <w:strike w:val="0"/>
        </w:rPr>
        <w:t>The penalty provisions must not prohibit or impede the delivery of medical care through the Medical Provider Network that is mandated or permitted by the statute.  “[</w:t>
      </w:r>
      <w:proofErr w:type="gramStart"/>
      <w:r w:rsidRPr="00DB77FD">
        <w:rPr>
          <w:i/>
          <w:strike w:val="0"/>
        </w:rPr>
        <w:t>a</w:t>
      </w:r>
      <w:proofErr w:type="gramEnd"/>
      <w:r w:rsidRPr="00DB77FD">
        <w:rPr>
          <w:i/>
          <w:strike w:val="0"/>
        </w:rPr>
        <w:t xml:space="preserve">] regulation that is inconsistent with the statute it seeks to implement is invalid.”  </w:t>
      </w:r>
      <w:proofErr w:type="gramStart"/>
      <w:r w:rsidRPr="00850081">
        <w:rPr>
          <w:i/>
          <w:strike w:val="0"/>
          <w:u w:val="single"/>
        </w:rPr>
        <w:t>Mendoza v WCAB</w:t>
      </w:r>
      <w:r w:rsidRPr="00DB77FD">
        <w:rPr>
          <w:i/>
          <w:strike w:val="0"/>
        </w:rPr>
        <w:t xml:space="preserve"> (2010) En Banc Opinion 75 CCC 63.</w:t>
      </w:r>
      <w:proofErr w:type="gramEnd"/>
    </w:p>
    <w:p w:rsidR="00E77FFC" w:rsidRPr="00DB77FD" w:rsidRDefault="00E77FFC" w:rsidP="00DB77FD">
      <w:pPr>
        <w:autoSpaceDE/>
        <w:autoSpaceDN/>
        <w:ind w:left="720"/>
        <w:rPr>
          <w:i/>
          <w:strike w:val="0"/>
        </w:rPr>
      </w:pPr>
    </w:p>
    <w:p w:rsidR="00E77FFC" w:rsidRPr="00DB77FD" w:rsidRDefault="00E77FFC" w:rsidP="00DB77FD">
      <w:pPr>
        <w:autoSpaceDE/>
        <w:autoSpaceDN/>
        <w:ind w:left="720"/>
        <w:rPr>
          <w:i/>
          <w:strike w:val="0"/>
        </w:rPr>
      </w:pPr>
      <w:r w:rsidRPr="00DB77FD">
        <w:rPr>
          <w:i/>
          <w:strike w:val="0"/>
        </w:rPr>
        <w:t xml:space="preserve">The Institute appreciates the impact penalties have as a deterrent to non-compliance, but there is a difference between a deterrent to non-compliance and an impediment to the legitimate operation of an MPN.  We recommend limiting penalties to those activities that have a detrimental impact on the operation of the MPN, adopting penalties that are proportionate to the violation and to other penalties, instituting a penalty cap for each review period, and including provisions for mitigation as permitted under other administrative penalty provisions.  The Administrative Director can achieve compliance and accountability with a more reasonable penalty schedule.   </w:t>
      </w:r>
    </w:p>
    <w:p w:rsidR="00056C2C" w:rsidRDefault="00056C2C" w:rsidP="00E63BAE">
      <w:pPr>
        <w:overflowPunct w:val="0"/>
        <w:adjustRightInd w:val="0"/>
        <w:textAlignment w:val="baseline"/>
        <w:rPr>
          <w:strike w:val="0"/>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Thank you for </w:t>
      </w:r>
      <w:r w:rsidR="00EE6BDD" w:rsidRPr="00E77F67">
        <w:rPr>
          <w:rFonts w:cs="Arial"/>
          <w:spacing w:val="0"/>
          <w:sz w:val="22"/>
          <w:szCs w:val="22"/>
        </w:rPr>
        <w:t xml:space="preserve">the opportunity to provide </w:t>
      </w:r>
      <w:r w:rsidR="007066E0" w:rsidRPr="00E77F67">
        <w:rPr>
          <w:rFonts w:cs="Arial"/>
          <w:spacing w:val="0"/>
          <w:sz w:val="22"/>
          <w:szCs w:val="22"/>
        </w:rPr>
        <w:t>written testimony</w:t>
      </w:r>
      <w:r w:rsidRPr="00E77F67">
        <w:rPr>
          <w:rFonts w:cs="Arial"/>
          <w:spacing w:val="0"/>
          <w:sz w:val="22"/>
          <w:szCs w:val="22"/>
        </w:rPr>
        <w:t>.  Please contact me for further clarification or if I can be of any other assistance.</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Sincerely,</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Brenda Ramirez</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Claims and Medical Director</w:t>
      </w:r>
    </w:p>
    <w:p w:rsidR="00406DC3" w:rsidRPr="00E77F67" w:rsidRDefault="005B1405"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 </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BR/pm </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8D7CE7" w:rsidRPr="00E77F67" w:rsidRDefault="00FC4B7D"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cc:</w:t>
      </w:r>
      <w:r w:rsidR="002A1114" w:rsidRPr="00E77F67">
        <w:rPr>
          <w:rFonts w:cs="Arial"/>
          <w:spacing w:val="0"/>
          <w:sz w:val="22"/>
          <w:szCs w:val="22"/>
        </w:rPr>
        <w:tab/>
      </w:r>
      <w:r w:rsidR="008D7CE7" w:rsidRPr="00E77F67">
        <w:rPr>
          <w:rFonts w:cs="Arial"/>
          <w:spacing w:val="0"/>
          <w:sz w:val="22"/>
          <w:szCs w:val="22"/>
        </w:rPr>
        <w:t>Christine Baker, DIR Director</w:t>
      </w:r>
    </w:p>
    <w:p w:rsidR="00FC4B7D" w:rsidRPr="00E77F67" w:rsidRDefault="008D7CE7"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A921F4" w:rsidRPr="00E77F67">
        <w:rPr>
          <w:rFonts w:cs="Arial"/>
          <w:spacing w:val="0"/>
          <w:sz w:val="22"/>
          <w:szCs w:val="22"/>
        </w:rPr>
        <w:t>Destie Overpeck</w:t>
      </w:r>
      <w:r w:rsidR="00FC4B7D" w:rsidRPr="00E77F67">
        <w:rPr>
          <w:rFonts w:cs="Arial"/>
          <w:spacing w:val="0"/>
          <w:sz w:val="22"/>
          <w:szCs w:val="22"/>
        </w:rPr>
        <w:t xml:space="preserve">, </w:t>
      </w:r>
      <w:r w:rsidR="00A921F4" w:rsidRPr="00E77F67">
        <w:rPr>
          <w:rFonts w:cs="Arial"/>
          <w:spacing w:val="0"/>
          <w:sz w:val="22"/>
          <w:szCs w:val="22"/>
        </w:rPr>
        <w:t xml:space="preserve">Acting </w:t>
      </w:r>
      <w:r w:rsidR="00FC4B7D" w:rsidRPr="00E77F67">
        <w:rPr>
          <w:rFonts w:cs="Arial"/>
          <w:spacing w:val="0"/>
          <w:sz w:val="22"/>
          <w:szCs w:val="22"/>
        </w:rPr>
        <w:t>Administrative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E76934" w:rsidRPr="00E77F67">
        <w:rPr>
          <w:rFonts w:cs="Arial"/>
          <w:sz w:val="22"/>
          <w:szCs w:val="22"/>
        </w:rPr>
        <w:t>Dr. Rupali Das, Executive Medical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F261F1" w:rsidRPr="00E77F67">
        <w:rPr>
          <w:rFonts w:cs="Arial"/>
          <w:sz w:val="22"/>
          <w:szCs w:val="22"/>
        </w:rPr>
        <w:t xml:space="preserve">DWC </w:t>
      </w:r>
      <w:r w:rsidR="000A51F3" w:rsidRPr="00E77F67">
        <w:rPr>
          <w:rFonts w:cs="Arial"/>
          <w:sz w:val="22"/>
          <w:szCs w:val="22"/>
        </w:rPr>
        <w:t>Attorney Yu Yee Wu</w:t>
      </w:r>
      <w:r w:rsidR="00406DC3" w:rsidRPr="00E77F67">
        <w:rPr>
          <w:rFonts w:cs="Arial"/>
          <w:sz w:val="22"/>
          <w:szCs w:val="22"/>
        </w:rPr>
        <w:t xml:space="preserve"> </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323956">
        <w:rPr>
          <w:rFonts w:cs="Arial"/>
          <w:sz w:val="22"/>
          <w:szCs w:val="22"/>
        </w:rPr>
        <w:t>DWC Attorney John Cortes</w:t>
      </w:r>
      <w:bookmarkStart w:id="14" w:name="_GoBack"/>
      <w:bookmarkEnd w:id="14"/>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FC4B7D" w:rsidRPr="00E77F67">
        <w:rPr>
          <w:rFonts w:cs="Arial"/>
          <w:sz w:val="22"/>
          <w:szCs w:val="22"/>
        </w:rPr>
        <w:t>CWCI Claims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A921F4" w:rsidRPr="00E77F67">
        <w:rPr>
          <w:rFonts w:cs="Arial"/>
          <w:sz w:val="22"/>
          <w:szCs w:val="22"/>
        </w:rPr>
        <w:t>CWCI Medical Care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406DC3" w:rsidRPr="00E77F67">
        <w:rPr>
          <w:rFonts w:cs="Arial"/>
          <w:sz w:val="22"/>
          <w:szCs w:val="22"/>
        </w:rPr>
        <w:t>CWCI Legal Committee</w:t>
      </w:r>
    </w:p>
    <w:p w:rsidR="002A1114"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z w:val="22"/>
          <w:szCs w:val="22"/>
        </w:rPr>
        <w:t>CWCI Regular Members</w:t>
      </w:r>
    </w:p>
    <w:p w:rsidR="004F7F58"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pacing w:val="0"/>
          <w:sz w:val="22"/>
          <w:szCs w:val="22"/>
        </w:rPr>
        <w:t xml:space="preserve">CWCI Associate Members </w:t>
      </w:r>
    </w:p>
    <w:sectPr w:rsidR="004F7F58" w:rsidRPr="00E77F67" w:rsidSect="00E552D3">
      <w:footerReference w:type="default" r:id="rId10"/>
      <w:pgSz w:w="12240" w:h="15840" w:code="1"/>
      <w:pgMar w:top="1080" w:right="1440" w:bottom="1260" w:left="1440" w:header="72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BCA" w:rsidRDefault="00ED7BCA">
      <w:r>
        <w:separator/>
      </w:r>
    </w:p>
  </w:endnote>
  <w:endnote w:type="continuationSeparator" w:id="0">
    <w:p w:rsidR="00ED7BCA" w:rsidRDefault="00ED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BCA" w:rsidRPr="002909DF" w:rsidRDefault="00ED7BCA" w:rsidP="008C6E92">
    <w:pPr>
      <w:pStyle w:val="Footer"/>
      <w:tabs>
        <w:tab w:val="clear" w:pos="4320"/>
        <w:tab w:val="center" w:pos="5040"/>
      </w:tabs>
      <w:rPr>
        <w:rFonts w:ascii="Arial" w:hAnsi="Arial" w:cs="Arial"/>
        <w:strike w:val="0"/>
        <w:sz w:val="20"/>
        <w:szCs w:val="20"/>
      </w:rPr>
    </w:pPr>
    <w:r>
      <w:rPr>
        <w:rFonts w:ascii="Verdana" w:hAnsi="Verdana" w:cs="Arial"/>
        <w:strike w:val="0"/>
        <w:sz w:val="20"/>
        <w:szCs w:val="20"/>
      </w:rPr>
      <w:t>Proposed Amendments to MPN Regulations, 8 CCR</w:t>
    </w:r>
    <w:r w:rsidRPr="000851FB">
      <w:rPr>
        <w:rFonts w:ascii="Verdana" w:hAnsi="Verdana" w:cs="Arial"/>
        <w:strike w:val="0"/>
        <w:sz w:val="20"/>
        <w:szCs w:val="20"/>
      </w:rPr>
      <w:t xml:space="preserve"> </w:t>
    </w:r>
    <w:r>
      <w:rPr>
        <w:rFonts w:ascii="Arial" w:hAnsi="Arial" w:cs="Arial"/>
        <w:strike w:val="0"/>
        <w:sz w:val="20"/>
        <w:szCs w:val="20"/>
      </w:rPr>
      <w:t>§§</w:t>
    </w:r>
    <w:r>
      <w:rPr>
        <w:rFonts w:ascii="Verdana" w:hAnsi="Verdana" w:cs="Arial"/>
        <w:strike w:val="0"/>
        <w:sz w:val="20"/>
        <w:szCs w:val="20"/>
      </w:rPr>
      <w:t>9767.1 – 9767.19</w:t>
    </w:r>
    <w:r w:rsidRPr="000851FB">
      <w:rPr>
        <w:rFonts w:ascii="Verdana" w:hAnsi="Verdana" w:cs="Arial"/>
        <w:strike w:val="0"/>
        <w:sz w:val="20"/>
        <w:szCs w:val="20"/>
      </w:rPr>
      <w:tab/>
    </w:r>
    <w:r w:rsidRPr="002909DF">
      <w:rPr>
        <w:rStyle w:val="PageNumber"/>
        <w:rFonts w:ascii="Arial" w:hAnsi="Arial" w:cs="Arial"/>
        <w:strike w:val="0"/>
        <w:sz w:val="20"/>
        <w:szCs w:val="20"/>
      </w:rPr>
      <w:fldChar w:fldCharType="begin"/>
    </w:r>
    <w:r w:rsidRPr="002909DF">
      <w:rPr>
        <w:rStyle w:val="PageNumber"/>
        <w:rFonts w:ascii="Arial" w:hAnsi="Arial" w:cs="Arial"/>
        <w:strike w:val="0"/>
        <w:sz w:val="20"/>
        <w:szCs w:val="20"/>
      </w:rPr>
      <w:instrText xml:space="preserve"> PAGE </w:instrText>
    </w:r>
    <w:r w:rsidRPr="002909DF">
      <w:rPr>
        <w:rStyle w:val="PageNumber"/>
        <w:rFonts w:ascii="Arial" w:hAnsi="Arial" w:cs="Arial"/>
        <w:strike w:val="0"/>
        <w:sz w:val="20"/>
        <w:szCs w:val="20"/>
      </w:rPr>
      <w:fldChar w:fldCharType="separate"/>
    </w:r>
    <w:r w:rsidR="00323956">
      <w:rPr>
        <w:rStyle w:val="PageNumber"/>
        <w:rFonts w:ascii="Arial" w:hAnsi="Arial" w:cs="Arial"/>
        <w:strike w:val="0"/>
        <w:noProof/>
        <w:sz w:val="20"/>
        <w:szCs w:val="20"/>
      </w:rPr>
      <w:t>22</w:t>
    </w:r>
    <w:r w:rsidRPr="002909DF">
      <w:rPr>
        <w:rStyle w:val="PageNumber"/>
        <w:rFonts w:ascii="Arial" w:hAnsi="Arial" w:cs="Arial"/>
        <w:strike w:val="0"/>
        <w:sz w:val="20"/>
        <w:szCs w:val="20"/>
      </w:rPr>
      <w:fldChar w:fldCharType="end"/>
    </w:r>
  </w:p>
  <w:p w:rsidR="00ED7BCA" w:rsidRPr="000851FB" w:rsidRDefault="00ED7BCA" w:rsidP="008C6E92">
    <w:pPr>
      <w:pStyle w:val="Footer"/>
      <w:tabs>
        <w:tab w:val="clear" w:pos="4320"/>
        <w:tab w:val="center" w:pos="5040"/>
      </w:tabs>
      <w:rPr>
        <w:rFonts w:ascii="Verdana" w:hAnsi="Verdana" w:cs="Arial"/>
        <w:strike w:val="0"/>
        <w:sz w:val="20"/>
        <w:szCs w:val="20"/>
      </w:rPr>
    </w:pPr>
    <w:r w:rsidRPr="000851FB">
      <w:rPr>
        <w:rFonts w:ascii="Verdana" w:hAnsi="Verdana" w:cs="Arial"/>
        <w:strike w:val="0"/>
        <w:sz w:val="20"/>
        <w:szCs w:val="20"/>
      </w:rPr>
      <w:t>(</w:t>
    </w:r>
    <w:r>
      <w:rPr>
        <w:rFonts w:ascii="Verdana" w:hAnsi="Verdana" w:cs="Arial"/>
        <w:strike w:val="0"/>
        <w:sz w:val="20"/>
        <w:szCs w:val="20"/>
      </w:rPr>
      <w:t>Rev. 8/5/13</w:t>
    </w:r>
    <w:r w:rsidRPr="000851FB">
      <w:rPr>
        <w:rFonts w:ascii="Verdana" w:hAnsi="Verdana" w:cs="Arial"/>
        <w:strike w:val="0"/>
        <w:sz w:val="20"/>
        <w:szCs w:val="20"/>
      </w:rPr>
      <w:t>)</w:t>
    </w:r>
    <w:r>
      <w:rPr>
        <w:rFonts w:ascii="Verdana" w:hAnsi="Verdana" w:cs="Arial"/>
        <w:strike w:val="0"/>
        <w:sz w:val="20"/>
        <w:szCs w:val="20"/>
      </w:rPr>
      <w:t xml:space="preserve"> for Public Hearing</w:t>
    </w:r>
  </w:p>
  <w:p w:rsidR="00ED7BCA" w:rsidRPr="000851FB" w:rsidRDefault="00ED7BCA" w:rsidP="008C6E92">
    <w:pPr>
      <w:pStyle w:val="Footer"/>
      <w:tabs>
        <w:tab w:val="clear" w:pos="8640"/>
        <w:tab w:val="right" w:pos="9360"/>
      </w:tabs>
      <w:rPr>
        <w:strike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BCA" w:rsidRDefault="00ED7BCA">
      <w:r>
        <w:separator/>
      </w:r>
    </w:p>
  </w:footnote>
  <w:footnote w:type="continuationSeparator" w:id="0">
    <w:p w:rsidR="00ED7BCA" w:rsidRDefault="00ED7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06D"/>
    <w:multiLevelType w:val="singleLevel"/>
    <w:tmpl w:val="21507002"/>
    <w:lvl w:ilvl="0">
      <w:start w:val="1"/>
      <w:numFmt w:val="lowerLetter"/>
      <w:lvlText w:val="(%1)"/>
      <w:legacy w:legacy="1" w:legacySpace="0" w:legacyIndent="375"/>
      <w:lvlJc w:val="left"/>
      <w:pPr>
        <w:ind w:left="360" w:hanging="375"/>
      </w:pPr>
      <w:rPr>
        <w:rFonts w:cs="Times New Roman"/>
      </w:rPr>
    </w:lvl>
  </w:abstractNum>
  <w:abstractNum w:abstractNumId="1">
    <w:nsid w:val="027B4A1C"/>
    <w:multiLevelType w:val="hybridMultilevel"/>
    <w:tmpl w:val="CD58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52F3A"/>
    <w:multiLevelType w:val="hybridMultilevel"/>
    <w:tmpl w:val="EF226E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nsid w:val="06715FDC"/>
    <w:multiLevelType w:val="hybridMultilevel"/>
    <w:tmpl w:val="FC6C4196"/>
    <w:lvl w:ilvl="0" w:tplc="D9C88D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FE6DA7"/>
    <w:multiLevelType w:val="hybridMultilevel"/>
    <w:tmpl w:val="0D04D4AC"/>
    <w:lvl w:ilvl="0" w:tplc="E924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2B3786"/>
    <w:multiLevelType w:val="hybridMultilevel"/>
    <w:tmpl w:val="2E90C7D4"/>
    <w:lvl w:ilvl="0" w:tplc="A9AA5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344A2E"/>
    <w:multiLevelType w:val="singleLevel"/>
    <w:tmpl w:val="0C72F22C"/>
    <w:lvl w:ilvl="0">
      <w:start w:val="7"/>
      <w:numFmt w:val="decimal"/>
      <w:lvlText w:val="(%1)"/>
      <w:lvlJc w:val="left"/>
      <w:pPr>
        <w:tabs>
          <w:tab w:val="num" w:pos="360"/>
        </w:tabs>
        <w:ind w:left="360" w:hanging="360"/>
      </w:pPr>
      <w:rPr>
        <w:rFonts w:cs="Times New Roman" w:hint="default"/>
        <w:u w:val="single"/>
      </w:rPr>
    </w:lvl>
  </w:abstractNum>
  <w:abstractNum w:abstractNumId="7">
    <w:nsid w:val="10BA50B1"/>
    <w:multiLevelType w:val="hybridMultilevel"/>
    <w:tmpl w:val="4580A142"/>
    <w:lvl w:ilvl="0" w:tplc="68C00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2323D6"/>
    <w:multiLevelType w:val="hybridMultilevel"/>
    <w:tmpl w:val="16EA7990"/>
    <w:lvl w:ilvl="0" w:tplc="F5AED3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A42F03"/>
    <w:multiLevelType w:val="singleLevel"/>
    <w:tmpl w:val="317858E8"/>
    <w:lvl w:ilvl="0">
      <w:start w:val="1"/>
      <w:numFmt w:val="bullet"/>
      <w:lvlText w:val=""/>
      <w:lvlJc w:val="left"/>
      <w:pPr>
        <w:tabs>
          <w:tab w:val="num" w:pos="360"/>
        </w:tabs>
        <w:ind w:left="360" w:hanging="360"/>
      </w:pPr>
      <w:rPr>
        <w:rFonts w:ascii="Symbol" w:hAnsi="Symbol" w:hint="default"/>
      </w:rPr>
    </w:lvl>
  </w:abstractNum>
  <w:abstractNum w:abstractNumId="10">
    <w:nsid w:val="14721B66"/>
    <w:multiLevelType w:val="hybridMultilevel"/>
    <w:tmpl w:val="7F3EF994"/>
    <w:lvl w:ilvl="0" w:tplc="9E8E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9C07C8"/>
    <w:multiLevelType w:val="hybridMultilevel"/>
    <w:tmpl w:val="FCCCBDBC"/>
    <w:lvl w:ilvl="0" w:tplc="F1DC4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0A7B13"/>
    <w:multiLevelType w:val="hybridMultilevel"/>
    <w:tmpl w:val="2E1A116C"/>
    <w:lvl w:ilvl="0" w:tplc="782A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C2086C"/>
    <w:multiLevelType w:val="hybridMultilevel"/>
    <w:tmpl w:val="24925432"/>
    <w:lvl w:ilvl="0" w:tplc="3804747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96348D"/>
    <w:multiLevelType w:val="hybridMultilevel"/>
    <w:tmpl w:val="2FF40CD4"/>
    <w:lvl w:ilvl="0" w:tplc="440E5C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6B27E7"/>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16">
    <w:nsid w:val="1E9D33DA"/>
    <w:multiLevelType w:val="hybridMultilevel"/>
    <w:tmpl w:val="AAFCF160"/>
    <w:lvl w:ilvl="0" w:tplc="A2B47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2D56EE"/>
    <w:multiLevelType w:val="hybridMultilevel"/>
    <w:tmpl w:val="11FC5290"/>
    <w:lvl w:ilvl="0" w:tplc="D9B0C02C">
      <w:start w:val="1"/>
      <w:numFmt w:val="decimal"/>
      <w:lvlText w:val="(%1)"/>
      <w:lvlJc w:val="left"/>
      <w:pPr>
        <w:ind w:left="360" w:hanging="360"/>
      </w:pPr>
      <w:rPr>
        <w:rFonts w:hint="default"/>
        <w:strike/>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2E71DFD"/>
    <w:multiLevelType w:val="hybridMultilevel"/>
    <w:tmpl w:val="29D05564"/>
    <w:lvl w:ilvl="0" w:tplc="DBB40A4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587F0B"/>
    <w:multiLevelType w:val="hybridMultilevel"/>
    <w:tmpl w:val="A1445DFA"/>
    <w:lvl w:ilvl="0" w:tplc="F6E8C3D6">
      <w:start w:val="1"/>
      <w:numFmt w:val="lowerLetter"/>
      <w:lvlText w:val="(%1)"/>
      <w:lvlJc w:val="left"/>
      <w:pPr>
        <w:tabs>
          <w:tab w:val="num" w:pos="720"/>
        </w:tabs>
        <w:ind w:left="720" w:hanging="360"/>
      </w:pPr>
      <w:rPr>
        <w:rFonts w:hint="default"/>
        <w:u w:val="none"/>
      </w:rPr>
    </w:lvl>
    <w:lvl w:ilvl="1" w:tplc="BF04B72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F54657"/>
    <w:multiLevelType w:val="singleLevel"/>
    <w:tmpl w:val="04AA3C78"/>
    <w:lvl w:ilvl="0">
      <w:start w:val="1"/>
      <w:numFmt w:val="decimal"/>
      <w:lvlText w:val="%1."/>
      <w:lvlJc w:val="left"/>
      <w:pPr>
        <w:tabs>
          <w:tab w:val="num" w:pos="360"/>
        </w:tabs>
        <w:ind w:left="360" w:hanging="360"/>
      </w:pPr>
      <w:rPr>
        <w:rFonts w:cs="Times New Roman" w:hint="default"/>
        <w:b w:val="0"/>
        <w:bCs/>
        <w:strike w:val="0"/>
        <w:color w:val="auto"/>
        <w:sz w:val="16"/>
        <w:szCs w:val="16"/>
      </w:rPr>
    </w:lvl>
  </w:abstractNum>
  <w:abstractNum w:abstractNumId="21">
    <w:nsid w:val="2A4002C5"/>
    <w:multiLevelType w:val="hybridMultilevel"/>
    <w:tmpl w:val="6BEA49DA"/>
    <w:lvl w:ilvl="0" w:tplc="453A19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C7C5F70"/>
    <w:multiLevelType w:val="hybridMultilevel"/>
    <w:tmpl w:val="7220C758"/>
    <w:lvl w:ilvl="0" w:tplc="08AE3F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C9718F"/>
    <w:multiLevelType w:val="multilevel"/>
    <w:tmpl w:val="0409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1875760"/>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nsid w:val="324E169D"/>
    <w:multiLevelType w:val="singleLevel"/>
    <w:tmpl w:val="60C0370C"/>
    <w:lvl w:ilvl="0">
      <w:start w:val="29"/>
      <w:numFmt w:val="decimal"/>
      <w:lvlText w:val="(%1)"/>
      <w:lvlJc w:val="left"/>
      <w:pPr>
        <w:tabs>
          <w:tab w:val="num" w:pos="915"/>
        </w:tabs>
        <w:ind w:left="915" w:hanging="555"/>
      </w:pPr>
      <w:rPr>
        <w:rFonts w:cs="Times New Roman" w:hint="default"/>
      </w:rPr>
    </w:lvl>
  </w:abstractNum>
  <w:abstractNum w:abstractNumId="26">
    <w:nsid w:val="326D2F15"/>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27">
    <w:nsid w:val="3A941073"/>
    <w:multiLevelType w:val="hybridMultilevel"/>
    <w:tmpl w:val="FAEE30CE"/>
    <w:lvl w:ilvl="0" w:tplc="81122D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A63C45"/>
    <w:multiLevelType w:val="hybridMultilevel"/>
    <w:tmpl w:val="92763F52"/>
    <w:lvl w:ilvl="0" w:tplc="4E06B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3EA91267"/>
    <w:multiLevelType w:val="hybridMultilevel"/>
    <w:tmpl w:val="00F289F2"/>
    <w:lvl w:ilvl="0" w:tplc="46B4C61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17732FF"/>
    <w:multiLevelType w:val="multilevel"/>
    <w:tmpl w:val="31284AC2"/>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1">
    <w:nsid w:val="436D679D"/>
    <w:multiLevelType w:val="hybridMultilevel"/>
    <w:tmpl w:val="67E41A3E"/>
    <w:lvl w:ilvl="0" w:tplc="CF0A3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E52C54"/>
    <w:multiLevelType w:val="hybridMultilevel"/>
    <w:tmpl w:val="EEBE7D7E"/>
    <w:lvl w:ilvl="0" w:tplc="C97E8FA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621CC4"/>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34">
    <w:nsid w:val="609C0DDC"/>
    <w:multiLevelType w:val="hybridMultilevel"/>
    <w:tmpl w:val="AFF49DE8"/>
    <w:lvl w:ilvl="0" w:tplc="E08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5A0A62"/>
    <w:multiLevelType w:val="hybridMultilevel"/>
    <w:tmpl w:val="C240ABC8"/>
    <w:lvl w:ilvl="0" w:tplc="A0BE15A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31354C"/>
    <w:multiLevelType w:val="hybridMultilevel"/>
    <w:tmpl w:val="2BE2F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D10B4B"/>
    <w:multiLevelType w:val="hybridMultilevel"/>
    <w:tmpl w:val="69E0367A"/>
    <w:lvl w:ilvl="0" w:tplc="01404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FE4352"/>
    <w:multiLevelType w:val="hybridMultilevel"/>
    <w:tmpl w:val="73E0D696"/>
    <w:lvl w:ilvl="0" w:tplc="D22C8A8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F1617F"/>
    <w:multiLevelType w:val="singleLevel"/>
    <w:tmpl w:val="2AE4D302"/>
    <w:lvl w:ilvl="0">
      <w:start w:val="1"/>
      <w:numFmt w:val="upperLetter"/>
      <w:lvlText w:val="(%1)"/>
      <w:legacy w:legacy="1" w:legacySpace="0" w:legacyIndent="1155"/>
      <w:lvlJc w:val="left"/>
      <w:pPr>
        <w:ind w:left="1875" w:hanging="1155"/>
      </w:pPr>
      <w:rPr>
        <w:rFonts w:cs="Times New Roman"/>
      </w:rPr>
    </w:lvl>
  </w:abstractNum>
  <w:abstractNum w:abstractNumId="40">
    <w:nsid w:val="774A17EC"/>
    <w:multiLevelType w:val="hybridMultilevel"/>
    <w:tmpl w:val="A54E528A"/>
    <w:lvl w:ilvl="0" w:tplc="99BE8F7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DA0186"/>
    <w:multiLevelType w:val="hybridMultilevel"/>
    <w:tmpl w:val="7C42712E"/>
    <w:lvl w:ilvl="0" w:tplc="73CA983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39"/>
  </w:num>
  <w:num w:numId="4">
    <w:abstractNumId w:val="33"/>
  </w:num>
  <w:num w:numId="5">
    <w:abstractNumId w:val="26"/>
  </w:num>
  <w:num w:numId="6">
    <w:abstractNumId w:val="30"/>
  </w:num>
  <w:num w:numId="7">
    <w:abstractNumId w:val="25"/>
  </w:num>
  <w:num w:numId="8">
    <w:abstractNumId w:val="6"/>
  </w:num>
  <w:num w:numId="9">
    <w:abstractNumId w:val="14"/>
  </w:num>
  <w:num w:numId="10">
    <w:abstractNumId w:val="23"/>
  </w:num>
  <w:num w:numId="11">
    <w:abstractNumId w:val="24"/>
  </w:num>
  <w:num w:numId="12">
    <w:abstractNumId w:val="19"/>
  </w:num>
  <w:num w:numId="13">
    <w:abstractNumId w:val="13"/>
  </w:num>
  <w:num w:numId="14">
    <w:abstractNumId w:val="28"/>
  </w:num>
  <w:num w:numId="15">
    <w:abstractNumId w:val="5"/>
  </w:num>
  <w:num w:numId="16">
    <w:abstractNumId w:val="31"/>
  </w:num>
  <w:num w:numId="17">
    <w:abstractNumId w:val="10"/>
  </w:num>
  <w:num w:numId="18">
    <w:abstractNumId w:val="4"/>
  </w:num>
  <w:num w:numId="19">
    <w:abstractNumId w:val="20"/>
  </w:num>
  <w:num w:numId="20">
    <w:abstractNumId w:val="9"/>
  </w:num>
  <w:num w:numId="21">
    <w:abstractNumId w:val="17"/>
  </w:num>
  <w:num w:numId="22">
    <w:abstractNumId w:val="12"/>
  </w:num>
  <w:num w:numId="23">
    <w:abstractNumId w:val="32"/>
  </w:num>
  <w:num w:numId="24">
    <w:abstractNumId w:val="18"/>
  </w:num>
  <w:num w:numId="25">
    <w:abstractNumId w:val="11"/>
  </w:num>
  <w:num w:numId="26">
    <w:abstractNumId w:val="27"/>
  </w:num>
  <w:num w:numId="27">
    <w:abstractNumId w:val="29"/>
  </w:num>
  <w:num w:numId="28">
    <w:abstractNumId w:val="8"/>
  </w:num>
  <w:num w:numId="29">
    <w:abstractNumId w:val="41"/>
  </w:num>
  <w:num w:numId="30">
    <w:abstractNumId w:val="40"/>
  </w:num>
  <w:num w:numId="31">
    <w:abstractNumId w:val="35"/>
  </w:num>
  <w:num w:numId="32">
    <w:abstractNumId w:val="38"/>
  </w:num>
  <w:num w:numId="33">
    <w:abstractNumId w:val="37"/>
  </w:num>
  <w:num w:numId="34">
    <w:abstractNumId w:val="3"/>
  </w:num>
  <w:num w:numId="35">
    <w:abstractNumId w:val="22"/>
  </w:num>
  <w:num w:numId="36">
    <w:abstractNumId w:val="21"/>
  </w:num>
  <w:num w:numId="37">
    <w:abstractNumId w:val="7"/>
  </w:num>
  <w:num w:numId="38">
    <w:abstractNumId w:val="34"/>
  </w:num>
  <w:num w:numId="39">
    <w:abstractNumId w:val="16"/>
  </w:num>
  <w:num w:numId="40">
    <w:abstractNumId w:val="36"/>
  </w:num>
  <w:num w:numId="41">
    <w:abstractNumId w:val="2"/>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53"/>
    <w:rsid w:val="000020A2"/>
    <w:rsid w:val="0000304B"/>
    <w:rsid w:val="000037C0"/>
    <w:rsid w:val="00003DFD"/>
    <w:rsid w:val="00004FCF"/>
    <w:rsid w:val="000051AF"/>
    <w:rsid w:val="00005360"/>
    <w:rsid w:val="00005BC4"/>
    <w:rsid w:val="000113AA"/>
    <w:rsid w:val="000132DB"/>
    <w:rsid w:val="000136AE"/>
    <w:rsid w:val="00014BE4"/>
    <w:rsid w:val="00014FCF"/>
    <w:rsid w:val="000161C4"/>
    <w:rsid w:val="00017DC7"/>
    <w:rsid w:val="00017FEC"/>
    <w:rsid w:val="00020708"/>
    <w:rsid w:val="00020BE4"/>
    <w:rsid w:val="00023FD1"/>
    <w:rsid w:val="00024F7D"/>
    <w:rsid w:val="00025632"/>
    <w:rsid w:val="00025FBA"/>
    <w:rsid w:val="000265F1"/>
    <w:rsid w:val="00027045"/>
    <w:rsid w:val="000275F7"/>
    <w:rsid w:val="000278CF"/>
    <w:rsid w:val="000330D6"/>
    <w:rsid w:val="000340E2"/>
    <w:rsid w:val="00034F1E"/>
    <w:rsid w:val="000371E0"/>
    <w:rsid w:val="000378EF"/>
    <w:rsid w:val="00041951"/>
    <w:rsid w:val="0004260B"/>
    <w:rsid w:val="00043C3B"/>
    <w:rsid w:val="00043F59"/>
    <w:rsid w:val="00045339"/>
    <w:rsid w:val="00046271"/>
    <w:rsid w:val="00046B7A"/>
    <w:rsid w:val="000473E8"/>
    <w:rsid w:val="00050247"/>
    <w:rsid w:val="0005130F"/>
    <w:rsid w:val="00051783"/>
    <w:rsid w:val="0005213D"/>
    <w:rsid w:val="00052FAB"/>
    <w:rsid w:val="000540EF"/>
    <w:rsid w:val="000542AF"/>
    <w:rsid w:val="0005507B"/>
    <w:rsid w:val="00055FE3"/>
    <w:rsid w:val="00056C2C"/>
    <w:rsid w:val="0005736D"/>
    <w:rsid w:val="000575BE"/>
    <w:rsid w:val="000601DF"/>
    <w:rsid w:val="00060F69"/>
    <w:rsid w:val="00063AE4"/>
    <w:rsid w:val="000649E8"/>
    <w:rsid w:val="00065A1F"/>
    <w:rsid w:val="00065DAB"/>
    <w:rsid w:val="0006748C"/>
    <w:rsid w:val="00067C2C"/>
    <w:rsid w:val="00067C79"/>
    <w:rsid w:val="00067C8D"/>
    <w:rsid w:val="000703D0"/>
    <w:rsid w:val="000719F7"/>
    <w:rsid w:val="00071C62"/>
    <w:rsid w:val="00072354"/>
    <w:rsid w:val="00073693"/>
    <w:rsid w:val="000771B1"/>
    <w:rsid w:val="000772C1"/>
    <w:rsid w:val="00077BD5"/>
    <w:rsid w:val="00080A2B"/>
    <w:rsid w:val="000824A0"/>
    <w:rsid w:val="00083775"/>
    <w:rsid w:val="00084C75"/>
    <w:rsid w:val="00084F9B"/>
    <w:rsid w:val="000851FB"/>
    <w:rsid w:val="00087312"/>
    <w:rsid w:val="00090BE8"/>
    <w:rsid w:val="00092538"/>
    <w:rsid w:val="00093DB2"/>
    <w:rsid w:val="00094A3C"/>
    <w:rsid w:val="00095789"/>
    <w:rsid w:val="0009662A"/>
    <w:rsid w:val="00097DD1"/>
    <w:rsid w:val="000A12A8"/>
    <w:rsid w:val="000A1822"/>
    <w:rsid w:val="000A4C84"/>
    <w:rsid w:val="000A51F3"/>
    <w:rsid w:val="000A61D9"/>
    <w:rsid w:val="000A7B84"/>
    <w:rsid w:val="000B1302"/>
    <w:rsid w:val="000B299A"/>
    <w:rsid w:val="000B4910"/>
    <w:rsid w:val="000B5206"/>
    <w:rsid w:val="000B6ABB"/>
    <w:rsid w:val="000B750F"/>
    <w:rsid w:val="000C01FA"/>
    <w:rsid w:val="000C056A"/>
    <w:rsid w:val="000C1398"/>
    <w:rsid w:val="000C2017"/>
    <w:rsid w:val="000C2C43"/>
    <w:rsid w:val="000C37FF"/>
    <w:rsid w:val="000C3918"/>
    <w:rsid w:val="000C39D1"/>
    <w:rsid w:val="000C5452"/>
    <w:rsid w:val="000C6390"/>
    <w:rsid w:val="000C6AF1"/>
    <w:rsid w:val="000C7CB3"/>
    <w:rsid w:val="000D11D5"/>
    <w:rsid w:val="000D12D2"/>
    <w:rsid w:val="000D1870"/>
    <w:rsid w:val="000D187B"/>
    <w:rsid w:val="000D2397"/>
    <w:rsid w:val="000D3049"/>
    <w:rsid w:val="000D4815"/>
    <w:rsid w:val="000D49AA"/>
    <w:rsid w:val="000D59BB"/>
    <w:rsid w:val="000D5B14"/>
    <w:rsid w:val="000D7A09"/>
    <w:rsid w:val="000E2503"/>
    <w:rsid w:val="000E29A0"/>
    <w:rsid w:val="000E5A01"/>
    <w:rsid w:val="000E6524"/>
    <w:rsid w:val="000F1407"/>
    <w:rsid w:val="000F1519"/>
    <w:rsid w:val="000F195E"/>
    <w:rsid w:val="000F206C"/>
    <w:rsid w:val="000F2E2C"/>
    <w:rsid w:val="000F38E9"/>
    <w:rsid w:val="000F4A8A"/>
    <w:rsid w:val="000F537E"/>
    <w:rsid w:val="000F6DF7"/>
    <w:rsid w:val="000F78C3"/>
    <w:rsid w:val="0010093C"/>
    <w:rsid w:val="0010241D"/>
    <w:rsid w:val="001035D6"/>
    <w:rsid w:val="00103AC9"/>
    <w:rsid w:val="00103ED7"/>
    <w:rsid w:val="001054C3"/>
    <w:rsid w:val="00106505"/>
    <w:rsid w:val="0010654B"/>
    <w:rsid w:val="00110965"/>
    <w:rsid w:val="001111B7"/>
    <w:rsid w:val="00111B2F"/>
    <w:rsid w:val="00112258"/>
    <w:rsid w:val="00112EAC"/>
    <w:rsid w:val="00113985"/>
    <w:rsid w:val="00114F4A"/>
    <w:rsid w:val="0011667B"/>
    <w:rsid w:val="00120686"/>
    <w:rsid w:val="001231A5"/>
    <w:rsid w:val="001238B7"/>
    <w:rsid w:val="00124224"/>
    <w:rsid w:val="0012796D"/>
    <w:rsid w:val="00127F37"/>
    <w:rsid w:val="001305CC"/>
    <w:rsid w:val="00130F3A"/>
    <w:rsid w:val="001339AA"/>
    <w:rsid w:val="00135860"/>
    <w:rsid w:val="00136E4B"/>
    <w:rsid w:val="00137DAF"/>
    <w:rsid w:val="00140348"/>
    <w:rsid w:val="00140D5F"/>
    <w:rsid w:val="001418D6"/>
    <w:rsid w:val="00142D99"/>
    <w:rsid w:val="00144068"/>
    <w:rsid w:val="001445B2"/>
    <w:rsid w:val="00144631"/>
    <w:rsid w:val="00144BA8"/>
    <w:rsid w:val="00145A53"/>
    <w:rsid w:val="00146BD1"/>
    <w:rsid w:val="001476E8"/>
    <w:rsid w:val="001518DB"/>
    <w:rsid w:val="0015262B"/>
    <w:rsid w:val="001528C1"/>
    <w:rsid w:val="00154380"/>
    <w:rsid w:val="001546D5"/>
    <w:rsid w:val="00155C36"/>
    <w:rsid w:val="00160A24"/>
    <w:rsid w:val="00161F9F"/>
    <w:rsid w:val="00163D22"/>
    <w:rsid w:val="00163F76"/>
    <w:rsid w:val="00164599"/>
    <w:rsid w:val="00166C9F"/>
    <w:rsid w:val="0016759A"/>
    <w:rsid w:val="00171154"/>
    <w:rsid w:val="00173D25"/>
    <w:rsid w:val="00181089"/>
    <w:rsid w:val="00181D79"/>
    <w:rsid w:val="0018223B"/>
    <w:rsid w:val="0018279A"/>
    <w:rsid w:val="00183035"/>
    <w:rsid w:val="001830C7"/>
    <w:rsid w:val="00183A36"/>
    <w:rsid w:val="00183B4F"/>
    <w:rsid w:val="0018446B"/>
    <w:rsid w:val="001846AB"/>
    <w:rsid w:val="001847AE"/>
    <w:rsid w:val="00185891"/>
    <w:rsid w:val="00185B89"/>
    <w:rsid w:val="00187722"/>
    <w:rsid w:val="0019011A"/>
    <w:rsid w:val="00190E81"/>
    <w:rsid w:val="00191517"/>
    <w:rsid w:val="00192BFA"/>
    <w:rsid w:val="00193150"/>
    <w:rsid w:val="001942D9"/>
    <w:rsid w:val="00194A28"/>
    <w:rsid w:val="00195724"/>
    <w:rsid w:val="001977A3"/>
    <w:rsid w:val="00197DB7"/>
    <w:rsid w:val="001A0635"/>
    <w:rsid w:val="001A3806"/>
    <w:rsid w:val="001A40B0"/>
    <w:rsid w:val="001A506E"/>
    <w:rsid w:val="001A5C64"/>
    <w:rsid w:val="001A65FD"/>
    <w:rsid w:val="001B028C"/>
    <w:rsid w:val="001B0B0B"/>
    <w:rsid w:val="001B0C22"/>
    <w:rsid w:val="001B0F75"/>
    <w:rsid w:val="001B4A91"/>
    <w:rsid w:val="001B50A6"/>
    <w:rsid w:val="001B5375"/>
    <w:rsid w:val="001C17F8"/>
    <w:rsid w:val="001C18CF"/>
    <w:rsid w:val="001C1DD8"/>
    <w:rsid w:val="001C2A2B"/>
    <w:rsid w:val="001C4587"/>
    <w:rsid w:val="001C4A5C"/>
    <w:rsid w:val="001C58D8"/>
    <w:rsid w:val="001C6D4F"/>
    <w:rsid w:val="001D03F8"/>
    <w:rsid w:val="001D1641"/>
    <w:rsid w:val="001D1680"/>
    <w:rsid w:val="001D2114"/>
    <w:rsid w:val="001D4182"/>
    <w:rsid w:val="001D5C07"/>
    <w:rsid w:val="001D5F28"/>
    <w:rsid w:val="001E0C55"/>
    <w:rsid w:val="001E0D17"/>
    <w:rsid w:val="001E1C1C"/>
    <w:rsid w:val="001E1D22"/>
    <w:rsid w:val="001E4A99"/>
    <w:rsid w:val="001E504C"/>
    <w:rsid w:val="001E5706"/>
    <w:rsid w:val="001E5B9A"/>
    <w:rsid w:val="001E6FB6"/>
    <w:rsid w:val="001E7712"/>
    <w:rsid w:val="001E7AFD"/>
    <w:rsid w:val="001E7EEC"/>
    <w:rsid w:val="001F0235"/>
    <w:rsid w:val="001F02B0"/>
    <w:rsid w:val="001F0E7D"/>
    <w:rsid w:val="001F5239"/>
    <w:rsid w:val="001F54EE"/>
    <w:rsid w:val="001F5B21"/>
    <w:rsid w:val="001F6462"/>
    <w:rsid w:val="001F78B3"/>
    <w:rsid w:val="00200179"/>
    <w:rsid w:val="00200894"/>
    <w:rsid w:val="00200F1E"/>
    <w:rsid w:val="00201005"/>
    <w:rsid w:val="00201BD0"/>
    <w:rsid w:val="00203FA0"/>
    <w:rsid w:val="00204125"/>
    <w:rsid w:val="00204929"/>
    <w:rsid w:val="00204CF8"/>
    <w:rsid w:val="00204DE7"/>
    <w:rsid w:val="0020515B"/>
    <w:rsid w:val="00206AD8"/>
    <w:rsid w:val="00207840"/>
    <w:rsid w:val="00210499"/>
    <w:rsid w:val="00212449"/>
    <w:rsid w:val="00214AFA"/>
    <w:rsid w:val="00215F83"/>
    <w:rsid w:val="00215F9C"/>
    <w:rsid w:val="0021634F"/>
    <w:rsid w:val="0021670D"/>
    <w:rsid w:val="00216EAE"/>
    <w:rsid w:val="00216F3E"/>
    <w:rsid w:val="00217AB1"/>
    <w:rsid w:val="00220B62"/>
    <w:rsid w:val="0022175E"/>
    <w:rsid w:val="00222177"/>
    <w:rsid w:val="00222A97"/>
    <w:rsid w:val="00223779"/>
    <w:rsid w:val="002237D5"/>
    <w:rsid w:val="00223CCD"/>
    <w:rsid w:val="00224342"/>
    <w:rsid w:val="0022487F"/>
    <w:rsid w:val="00224F11"/>
    <w:rsid w:val="00226723"/>
    <w:rsid w:val="00226BAE"/>
    <w:rsid w:val="00226ECB"/>
    <w:rsid w:val="00227033"/>
    <w:rsid w:val="00230CB3"/>
    <w:rsid w:val="002339F9"/>
    <w:rsid w:val="0023514B"/>
    <w:rsid w:val="00236CCF"/>
    <w:rsid w:val="00237738"/>
    <w:rsid w:val="00237C86"/>
    <w:rsid w:val="0024252B"/>
    <w:rsid w:val="00242BDC"/>
    <w:rsid w:val="002436B8"/>
    <w:rsid w:val="00244749"/>
    <w:rsid w:val="00244FDC"/>
    <w:rsid w:val="002454DD"/>
    <w:rsid w:val="00245F8F"/>
    <w:rsid w:val="002465D9"/>
    <w:rsid w:val="00246610"/>
    <w:rsid w:val="00247DAA"/>
    <w:rsid w:val="00254348"/>
    <w:rsid w:val="00254F18"/>
    <w:rsid w:val="002554F2"/>
    <w:rsid w:val="002556D6"/>
    <w:rsid w:val="00255826"/>
    <w:rsid w:val="002561E6"/>
    <w:rsid w:val="0026161F"/>
    <w:rsid w:val="00261EDD"/>
    <w:rsid w:val="00262E31"/>
    <w:rsid w:val="002631FC"/>
    <w:rsid w:val="0026323E"/>
    <w:rsid w:val="002632D9"/>
    <w:rsid w:val="0026375E"/>
    <w:rsid w:val="0026503C"/>
    <w:rsid w:val="00265BAB"/>
    <w:rsid w:val="00270644"/>
    <w:rsid w:val="00271B9B"/>
    <w:rsid w:val="00273821"/>
    <w:rsid w:val="002753B7"/>
    <w:rsid w:val="00275CB8"/>
    <w:rsid w:val="00275E13"/>
    <w:rsid w:val="0028024A"/>
    <w:rsid w:val="002809B5"/>
    <w:rsid w:val="00280B42"/>
    <w:rsid w:val="00282726"/>
    <w:rsid w:val="0028377C"/>
    <w:rsid w:val="0028449D"/>
    <w:rsid w:val="00284E7A"/>
    <w:rsid w:val="002852DB"/>
    <w:rsid w:val="002858A3"/>
    <w:rsid w:val="002862A8"/>
    <w:rsid w:val="002867DF"/>
    <w:rsid w:val="0028709F"/>
    <w:rsid w:val="00287B24"/>
    <w:rsid w:val="002907DA"/>
    <w:rsid w:val="002909DF"/>
    <w:rsid w:val="002914DD"/>
    <w:rsid w:val="002918E4"/>
    <w:rsid w:val="002929D7"/>
    <w:rsid w:val="00293181"/>
    <w:rsid w:val="00296F94"/>
    <w:rsid w:val="002975B0"/>
    <w:rsid w:val="002A0F83"/>
    <w:rsid w:val="002A1114"/>
    <w:rsid w:val="002A1AC2"/>
    <w:rsid w:val="002A3024"/>
    <w:rsid w:val="002A36C9"/>
    <w:rsid w:val="002A38B2"/>
    <w:rsid w:val="002A391D"/>
    <w:rsid w:val="002A5973"/>
    <w:rsid w:val="002B20FC"/>
    <w:rsid w:val="002B4270"/>
    <w:rsid w:val="002B46A5"/>
    <w:rsid w:val="002B4F2F"/>
    <w:rsid w:val="002B646F"/>
    <w:rsid w:val="002B66A4"/>
    <w:rsid w:val="002B7B3D"/>
    <w:rsid w:val="002C02E6"/>
    <w:rsid w:val="002C13DE"/>
    <w:rsid w:val="002C2B8C"/>
    <w:rsid w:val="002C2C5F"/>
    <w:rsid w:val="002C36D6"/>
    <w:rsid w:val="002C59B1"/>
    <w:rsid w:val="002C5BAA"/>
    <w:rsid w:val="002C5F71"/>
    <w:rsid w:val="002C6102"/>
    <w:rsid w:val="002C6AC9"/>
    <w:rsid w:val="002D0EF8"/>
    <w:rsid w:val="002D130C"/>
    <w:rsid w:val="002D172C"/>
    <w:rsid w:val="002D23FA"/>
    <w:rsid w:val="002D4EB0"/>
    <w:rsid w:val="002D4F60"/>
    <w:rsid w:val="002E1849"/>
    <w:rsid w:val="002E39C2"/>
    <w:rsid w:val="002E4F96"/>
    <w:rsid w:val="002E7438"/>
    <w:rsid w:val="002E7C3E"/>
    <w:rsid w:val="002E7C87"/>
    <w:rsid w:val="002F0976"/>
    <w:rsid w:val="002F14B3"/>
    <w:rsid w:val="002F297E"/>
    <w:rsid w:val="002F29A0"/>
    <w:rsid w:val="002F2BE7"/>
    <w:rsid w:val="002F3B80"/>
    <w:rsid w:val="002F3BC5"/>
    <w:rsid w:val="002F5225"/>
    <w:rsid w:val="002F7193"/>
    <w:rsid w:val="002F7B63"/>
    <w:rsid w:val="00302B41"/>
    <w:rsid w:val="0030450B"/>
    <w:rsid w:val="003051DC"/>
    <w:rsid w:val="00306231"/>
    <w:rsid w:val="0030670D"/>
    <w:rsid w:val="00311361"/>
    <w:rsid w:val="003117F8"/>
    <w:rsid w:val="00314EB0"/>
    <w:rsid w:val="00315477"/>
    <w:rsid w:val="0032123F"/>
    <w:rsid w:val="00322A18"/>
    <w:rsid w:val="00323956"/>
    <w:rsid w:val="00324C08"/>
    <w:rsid w:val="00327243"/>
    <w:rsid w:val="00327D29"/>
    <w:rsid w:val="00330165"/>
    <w:rsid w:val="00331890"/>
    <w:rsid w:val="00333A32"/>
    <w:rsid w:val="00333FA8"/>
    <w:rsid w:val="00334D25"/>
    <w:rsid w:val="003357D7"/>
    <w:rsid w:val="00335CB7"/>
    <w:rsid w:val="00336706"/>
    <w:rsid w:val="0033685D"/>
    <w:rsid w:val="00341333"/>
    <w:rsid w:val="00341DD2"/>
    <w:rsid w:val="00342104"/>
    <w:rsid w:val="00342468"/>
    <w:rsid w:val="00343235"/>
    <w:rsid w:val="00345F76"/>
    <w:rsid w:val="00345FBB"/>
    <w:rsid w:val="003468E4"/>
    <w:rsid w:val="00346F4B"/>
    <w:rsid w:val="00347799"/>
    <w:rsid w:val="00350570"/>
    <w:rsid w:val="003505B3"/>
    <w:rsid w:val="00350889"/>
    <w:rsid w:val="00351A7B"/>
    <w:rsid w:val="00353877"/>
    <w:rsid w:val="003538D3"/>
    <w:rsid w:val="00353F8D"/>
    <w:rsid w:val="00354045"/>
    <w:rsid w:val="00354330"/>
    <w:rsid w:val="00356137"/>
    <w:rsid w:val="00356D6F"/>
    <w:rsid w:val="00360670"/>
    <w:rsid w:val="00362205"/>
    <w:rsid w:val="00362263"/>
    <w:rsid w:val="00362AE6"/>
    <w:rsid w:val="0036358B"/>
    <w:rsid w:val="00363A8A"/>
    <w:rsid w:val="003664CA"/>
    <w:rsid w:val="003664FC"/>
    <w:rsid w:val="00366A3F"/>
    <w:rsid w:val="00367BFB"/>
    <w:rsid w:val="003702BF"/>
    <w:rsid w:val="00371613"/>
    <w:rsid w:val="00371856"/>
    <w:rsid w:val="00371D94"/>
    <w:rsid w:val="003724C5"/>
    <w:rsid w:val="003726F2"/>
    <w:rsid w:val="00372BC4"/>
    <w:rsid w:val="0037318C"/>
    <w:rsid w:val="00374419"/>
    <w:rsid w:val="00374523"/>
    <w:rsid w:val="00374E61"/>
    <w:rsid w:val="00374FDE"/>
    <w:rsid w:val="0037585E"/>
    <w:rsid w:val="00375A9A"/>
    <w:rsid w:val="00376716"/>
    <w:rsid w:val="0037672C"/>
    <w:rsid w:val="0038281B"/>
    <w:rsid w:val="00382C49"/>
    <w:rsid w:val="00383DEF"/>
    <w:rsid w:val="00383F5C"/>
    <w:rsid w:val="00386908"/>
    <w:rsid w:val="003943F3"/>
    <w:rsid w:val="0039515B"/>
    <w:rsid w:val="003951C1"/>
    <w:rsid w:val="0039705B"/>
    <w:rsid w:val="00397434"/>
    <w:rsid w:val="00397700"/>
    <w:rsid w:val="003978CF"/>
    <w:rsid w:val="003A602B"/>
    <w:rsid w:val="003A72C5"/>
    <w:rsid w:val="003A7C83"/>
    <w:rsid w:val="003B10E3"/>
    <w:rsid w:val="003B1660"/>
    <w:rsid w:val="003B25F5"/>
    <w:rsid w:val="003B2C24"/>
    <w:rsid w:val="003B3132"/>
    <w:rsid w:val="003B5754"/>
    <w:rsid w:val="003B5A4B"/>
    <w:rsid w:val="003B7B3B"/>
    <w:rsid w:val="003C1FBD"/>
    <w:rsid w:val="003C29EC"/>
    <w:rsid w:val="003C2DEB"/>
    <w:rsid w:val="003C40FF"/>
    <w:rsid w:val="003C4D33"/>
    <w:rsid w:val="003C51A1"/>
    <w:rsid w:val="003C6626"/>
    <w:rsid w:val="003C6B39"/>
    <w:rsid w:val="003D0E9C"/>
    <w:rsid w:val="003D18A3"/>
    <w:rsid w:val="003D2D17"/>
    <w:rsid w:val="003D34FF"/>
    <w:rsid w:val="003D5F4E"/>
    <w:rsid w:val="003D6613"/>
    <w:rsid w:val="003D7210"/>
    <w:rsid w:val="003D7983"/>
    <w:rsid w:val="003E19DD"/>
    <w:rsid w:val="003E3434"/>
    <w:rsid w:val="003E34E7"/>
    <w:rsid w:val="003E35CB"/>
    <w:rsid w:val="003E43C7"/>
    <w:rsid w:val="003E4C09"/>
    <w:rsid w:val="003E6C4C"/>
    <w:rsid w:val="003E7073"/>
    <w:rsid w:val="003F0266"/>
    <w:rsid w:val="003F2547"/>
    <w:rsid w:val="003F330B"/>
    <w:rsid w:val="003F4711"/>
    <w:rsid w:val="003F531E"/>
    <w:rsid w:val="003F60D1"/>
    <w:rsid w:val="0040057F"/>
    <w:rsid w:val="0040182D"/>
    <w:rsid w:val="00403298"/>
    <w:rsid w:val="00403367"/>
    <w:rsid w:val="00403C6B"/>
    <w:rsid w:val="00403C7F"/>
    <w:rsid w:val="00404933"/>
    <w:rsid w:val="00404D38"/>
    <w:rsid w:val="00405BC2"/>
    <w:rsid w:val="00406DC3"/>
    <w:rsid w:val="004077EF"/>
    <w:rsid w:val="004079F7"/>
    <w:rsid w:val="00412F40"/>
    <w:rsid w:val="00414102"/>
    <w:rsid w:val="00414A7F"/>
    <w:rsid w:val="00415DB8"/>
    <w:rsid w:val="0041702E"/>
    <w:rsid w:val="00417DCD"/>
    <w:rsid w:val="00420C04"/>
    <w:rsid w:val="004217FF"/>
    <w:rsid w:val="00423531"/>
    <w:rsid w:val="00423976"/>
    <w:rsid w:val="00425D9B"/>
    <w:rsid w:val="00426B40"/>
    <w:rsid w:val="00426B5A"/>
    <w:rsid w:val="00427AF9"/>
    <w:rsid w:val="00427EAF"/>
    <w:rsid w:val="0043056D"/>
    <w:rsid w:val="00431F81"/>
    <w:rsid w:val="00432659"/>
    <w:rsid w:val="004337FE"/>
    <w:rsid w:val="00434ABE"/>
    <w:rsid w:val="00434D6E"/>
    <w:rsid w:val="00436057"/>
    <w:rsid w:val="0043727E"/>
    <w:rsid w:val="00437451"/>
    <w:rsid w:val="00437EAC"/>
    <w:rsid w:val="00440C24"/>
    <w:rsid w:val="004418AB"/>
    <w:rsid w:val="00442046"/>
    <w:rsid w:val="004420AB"/>
    <w:rsid w:val="004430E8"/>
    <w:rsid w:val="00443493"/>
    <w:rsid w:val="00443D21"/>
    <w:rsid w:val="00447D4B"/>
    <w:rsid w:val="00450FE5"/>
    <w:rsid w:val="00452620"/>
    <w:rsid w:val="004527F4"/>
    <w:rsid w:val="00454C3D"/>
    <w:rsid w:val="00455E77"/>
    <w:rsid w:val="00457304"/>
    <w:rsid w:val="004577FA"/>
    <w:rsid w:val="00460659"/>
    <w:rsid w:val="004612C0"/>
    <w:rsid w:val="00462D9F"/>
    <w:rsid w:val="00464C08"/>
    <w:rsid w:val="00466202"/>
    <w:rsid w:val="0046656C"/>
    <w:rsid w:val="0047073D"/>
    <w:rsid w:val="00470EDB"/>
    <w:rsid w:val="00471D27"/>
    <w:rsid w:val="00472800"/>
    <w:rsid w:val="00472B25"/>
    <w:rsid w:val="0047334C"/>
    <w:rsid w:val="00473ACD"/>
    <w:rsid w:val="00473C44"/>
    <w:rsid w:val="00474D44"/>
    <w:rsid w:val="004777AF"/>
    <w:rsid w:val="00477AA0"/>
    <w:rsid w:val="0048019F"/>
    <w:rsid w:val="00480B3D"/>
    <w:rsid w:val="0048173A"/>
    <w:rsid w:val="00482735"/>
    <w:rsid w:val="00482CA0"/>
    <w:rsid w:val="00482F08"/>
    <w:rsid w:val="0048356B"/>
    <w:rsid w:val="00484A36"/>
    <w:rsid w:val="004850E4"/>
    <w:rsid w:val="00485160"/>
    <w:rsid w:val="00485D6E"/>
    <w:rsid w:val="00487CBA"/>
    <w:rsid w:val="00490220"/>
    <w:rsid w:val="00491B7F"/>
    <w:rsid w:val="00492DF8"/>
    <w:rsid w:val="004947B3"/>
    <w:rsid w:val="00495933"/>
    <w:rsid w:val="00496BA7"/>
    <w:rsid w:val="00496BF1"/>
    <w:rsid w:val="004976D6"/>
    <w:rsid w:val="004A11A7"/>
    <w:rsid w:val="004A1B9C"/>
    <w:rsid w:val="004A278A"/>
    <w:rsid w:val="004A310E"/>
    <w:rsid w:val="004A3E00"/>
    <w:rsid w:val="004A432A"/>
    <w:rsid w:val="004A5183"/>
    <w:rsid w:val="004A67AD"/>
    <w:rsid w:val="004A691B"/>
    <w:rsid w:val="004B111E"/>
    <w:rsid w:val="004B1C48"/>
    <w:rsid w:val="004B27F4"/>
    <w:rsid w:val="004B3F4D"/>
    <w:rsid w:val="004B4284"/>
    <w:rsid w:val="004B444D"/>
    <w:rsid w:val="004B51CE"/>
    <w:rsid w:val="004B7247"/>
    <w:rsid w:val="004B77DB"/>
    <w:rsid w:val="004B7A68"/>
    <w:rsid w:val="004B7FF7"/>
    <w:rsid w:val="004C1CC0"/>
    <w:rsid w:val="004C27B9"/>
    <w:rsid w:val="004C2DD9"/>
    <w:rsid w:val="004C535A"/>
    <w:rsid w:val="004C619D"/>
    <w:rsid w:val="004C6AE5"/>
    <w:rsid w:val="004C6BD1"/>
    <w:rsid w:val="004C7214"/>
    <w:rsid w:val="004C74E1"/>
    <w:rsid w:val="004C7A70"/>
    <w:rsid w:val="004C7DD5"/>
    <w:rsid w:val="004D0EE6"/>
    <w:rsid w:val="004D4036"/>
    <w:rsid w:val="004D499B"/>
    <w:rsid w:val="004D5614"/>
    <w:rsid w:val="004D6A19"/>
    <w:rsid w:val="004D766A"/>
    <w:rsid w:val="004E045D"/>
    <w:rsid w:val="004E074C"/>
    <w:rsid w:val="004E09F0"/>
    <w:rsid w:val="004E272A"/>
    <w:rsid w:val="004E33CE"/>
    <w:rsid w:val="004E6C30"/>
    <w:rsid w:val="004E7CD2"/>
    <w:rsid w:val="004E7DEA"/>
    <w:rsid w:val="004F005B"/>
    <w:rsid w:val="004F0132"/>
    <w:rsid w:val="004F0CC6"/>
    <w:rsid w:val="004F1506"/>
    <w:rsid w:val="004F5970"/>
    <w:rsid w:val="004F6568"/>
    <w:rsid w:val="004F7F58"/>
    <w:rsid w:val="00504DDA"/>
    <w:rsid w:val="00505DA4"/>
    <w:rsid w:val="00507872"/>
    <w:rsid w:val="00510FE9"/>
    <w:rsid w:val="00512DB3"/>
    <w:rsid w:val="00513243"/>
    <w:rsid w:val="00513B02"/>
    <w:rsid w:val="00515AC0"/>
    <w:rsid w:val="00516E43"/>
    <w:rsid w:val="00521C8C"/>
    <w:rsid w:val="0052259F"/>
    <w:rsid w:val="00522E14"/>
    <w:rsid w:val="00523819"/>
    <w:rsid w:val="00524A03"/>
    <w:rsid w:val="00524DBD"/>
    <w:rsid w:val="00530E92"/>
    <w:rsid w:val="00531384"/>
    <w:rsid w:val="0053643D"/>
    <w:rsid w:val="00536EF4"/>
    <w:rsid w:val="0054210C"/>
    <w:rsid w:val="005437DD"/>
    <w:rsid w:val="00546B9F"/>
    <w:rsid w:val="005472BA"/>
    <w:rsid w:val="00547F39"/>
    <w:rsid w:val="005518E7"/>
    <w:rsid w:val="005519D6"/>
    <w:rsid w:val="00551EDA"/>
    <w:rsid w:val="00553C34"/>
    <w:rsid w:val="00555FEA"/>
    <w:rsid w:val="0055702D"/>
    <w:rsid w:val="0055797D"/>
    <w:rsid w:val="00557C7D"/>
    <w:rsid w:val="005618FD"/>
    <w:rsid w:val="00561CFE"/>
    <w:rsid w:val="00562FF5"/>
    <w:rsid w:val="0056352A"/>
    <w:rsid w:val="00563CB9"/>
    <w:rsid w:val="005650D3"/>
    <w:rsid w:val="00572402"/>
    <w:rsid w:val="00573DBF"/>
    <w:rsid w:val="005741BF"/>
    <w:rsid w:val="005756E1"/>
    <w:rsid w:val="00575A10"/>
    <w:rsid w:val="00577C20"/>
    <w:rsid w:val="005801EF"/>
    <w:rsid w:val="00581BDB"/>
    <w:rsid w:val="00584285"/>
    <w:rsid w:val="0058459D"/>
    <w:rsid w:val="005845BF"/>
    <w:rsid w:val="00584E89"/>
    <w:rsid w:val="00585789"/>
    <w:rsid w:val="00586759"/>
    <w:rsid w:val="00590608"/>
    <w:rsid w:val="00594844"/>
    <w:rsid w:val="00595A4B"/>
    <w:rsid w:val="00596A7A"/>
    <w:rsid w:val="005976A5"/>
    <w:rsid w:val="00597853"/>
    <w:rsid w:val="005A0685"/>
    <w:rsid w:val="005A07C9"/>
    <w:rsid w:val="005A139B"/>
    <w:rsid w:val="005A20AD"/>
    <w:rsid w:val="005A29A4"/>
    <w:rsid w:val="005A3A2B"/>
    <w:rsid w:val="005A5DC2"/>
    <w:rsid w:val="005A744C"/>
    <w:rsid w:val="005A7659"/>
    <w:rsid w:val="005B0787"/>
    <w:rsid w:val="005B1405"/>
    <w:rsid w:val="005B2240"/>
    <w:rsid w:val="005B2A81"/>
    <w:rsid w:val="005B4176"/>
    <w:rsid w:val="005B4ED6"/>
    <w:rsid w:val="005B5650"/>
    <w:rsid w:val="005B56FF"/>
    <w:rsid w:val="005C1C98"/>
    <w:rsid w:val="005C20DB"/>
    <w:rsid w:val="005C23C7"/>
    <w:rsid w:val="005C27A7"/>
    <w:rsid w:val="005C29B0"/>
    <w:rsid w:val="005C4645"/>
    <w:rsid w:val="005C64E1"/>
    <w:rsid w:val="005C72E1"/>
    <w:rsid w:val="005D065F"/>
    <w:rsid w:val="005D4A53"/>
    <w:rsid w:val="005D5E5E"/>
    <w:rsid w:val="005D6050"/>
    <w:rsid w:val="005D785B"/>
    <w:rsid w:val="005E0573"/>
    <w:rsid w:val="005E159E"/>
    <w:rsid w:val="005E1803"/>
    <w:rsid w:val="005E231F"/>
    <w:rsid w:val="005E3150"/>
    <w:rsid w:val="005E494B"/>
    <w:rsid w:val="005E5C23"/>
    <w:rsid w:val="005E5FA4"/>
    <w:rsid w:val="005E6F45"/>
    <w:rsid w:val="005E7DD7"/>
    <w:rsid w:val="005F0CD5"/>
    <w:rsid w:val="005F0F47"/>
    <w:rsid w:val="005F1E54"/>
    <w:rsid w:val="005F23B9"/>
    <w:rsid w:val="005F293A"/>
    <w:rsid w:val="005F2FE6"/>
    <w:rsid w:val="005F3CB0"/>
    <w:rsid w:val="005F3DBD"/>
    <w:rsid w:val="005F6330"/>
    <w:rsid w:val="005F6C87"/>
    <w:rsid w:val="005F73AB"/>
    <w:rsid w:val="005F75CF"/>
    <w:rsid w:val="0060010D"/>
    <w:rsid w:val="006009E5"/>
    <w:rsid w:val="0060149B"/>
    <w:rsid w:val="00601B4C"/>
    <w:rsid w:val="00602535"/>
    <w:rsid w:val="006037E8"/>
    <w:rsid w:val="0060548A"/>
    <w:rsid w:val="00611110"/>
    <w:rsid w:val="00613352"/>
    <w:rsid w:val="00614CBC"/>
    <w:rsid w:val="00616160"/>
    <w:rsid w:val="00616FDC"/>
    <w:rsid w:val="0061735C"/>
    <w:rsid w:val="006208CC"/>
    <w:rsid w:val="00621812"/>
    <w:rsid w:val="00621BE9"/>
    <w:rsid w:val="00622FA6"/>
    <w:rsid w:val="00623032"/>
    <w:rsid w:val="006246F5"/>
    <w:rsid w:val="00625A57"/>
    <w:rsid w:val="00626297"/>
    <w:rsid w:val="00626D33"/>
    <w:rsid w:val="00630311"/>
    <w:rsid w:val="00630510"/>
    <w:rsid w:val="00630D58"/>
    <w:rsid w:val="006320B1"/>
    <w:rsid w:val="00633DA1"/>
    <w:rsid w:val="0063456F"/>
    <w:rsid w:val="00637EB7"/>
    <w:rsid w:val="006402ED"/>
    <w:rsid w:val="00641931"/>
    <w:rsid w:val="00641B8D"/>
    <w:rsid w:val="00642148"/>
    <w:rsid w:val="00645181"/>
    <w:rsid w:val="00645F4C"/>
    <w:rsid w:val="00646B00"/>
    <w:rsid w:val="006503AE"/>
    <w:rsid w:val="00651D92"/>
    <w:rsid w:val="00652279"/>
    <w:rsid w:val="0065294D"/>
    <w:rsid w:val="00653239"/>
    <w:rsid w:val="00654FC8"/>
    <w:rsid w:val="00656559"/>
    <w:rsid w:val="00656722"/>
    <w:rsid w:val="00657E9C"/>
    <w:rsid w:val="00660335"/>
    <w:rsid w:val="00661632"/>
    <w:rsid w:val="0066174F"/>
    <w:rsid w:val="006621C2"/>
    <w:rsid w:val="00662434"/>
    <w:rsid w:val="0066308B"/>
    <w:rsid w:val="00663D64"/>
    <w:rsid w:val="00666EC4"/>
    <w:rsid w:val="00666F5C"/>
    <w:rsid w:val="00671912"/>
    <w:rsid w:val="00671970"/>
    <w:rsid w:val="0067393A"/>
    <w:rsid w:val="0067578E"/>
    <w:rsid w:val="00676575"/>
    <w:rsid w:val="00677654"/>
    <w:rsid w:val="006840BF"/>
    <w:rsid w:val="006842C9"/>
    <w:rsid w:val="00684783"/>
    <w:rsid w:val="0068590A"/>
    <w:rsid w:val="006867DD"/>
    <w:rsid w:val="00686954"/>
    <w:rsid w:val="00686CC9"/>
    <w:rsid w:val="00687112"/>
    <w:rsid w:val="006900CA"/>
    <w:rsid w:val="00690A80"/>
    <w:rsid w:val="0069431F"/>
    <w:rsid w:val="0069504C"/>
    <w:rsid w:val="006A3500"/>
    <w:rsid w:val="006A3633"/>
    <w:rsid w:val="006A3AD7"/>
    <w:rsid w:val="006A6394"/>
    <w:rsid w:val="006A63AA"/>
    <w:rsid w:val="006A69C4"/>
    <w:rsid w:val="006A7346"/>
    <w:rsid w:val="006B01F8"/>
    <w:rsid w:val="006B0738"/>
    <w:rsid w:val="006B087B"/>
    <w:rsid w:val="006B1233"/>
    <w:rsid w:val="006B1A0D"/>
    <w:rsid w:val="006B1C6B"/>
    <w:rsid w:val="006B2678"/>
    <w:rsid w:val="006B27B1"/>
    <w:rsid w:val="006B32D1"/>
    <w:rsid w:val="006B364E"/>
    <w:rsid w:val="006B442B"/>
    <w:rsid w:val="006B5B04"/>
    <w:rsid w:val="006B6867"/>
    <w:rsid w:val="006B6AB0"/>
    <w:rsid w:val="006B7835"/>
    <w:rsid w:val="006C0183"/>
    <w:rsid w:val="006C0968"/>
    <w:rsid w:val="006C0EA9"/>
    <w:rsid w:val="006C10C1"/>
    <w:rsid w:val="006C2C55"/>
    <w:rsid w:val="006C32E2"/>
    <w:rsid w:val="006C4E3A"/>
    <w:rsid w:val="006C5A09"/>
    <w:rsid w:val="006C5B44"/>
    <w:rsid w:val="006C5FA1"/>
    <w:rsid w:val="006C6958"/>
    <w:rsid w:val="006C7458"/>
    <w:rsid w:val="006C76A7"/>
    <w:rsid w:val="006D261B"/>
    <w:rsid w:val="006D383A"/>
    <w:rsid w:val="006D3B15"/>
    <w:rsid w:val="006D3F3B"/>
    <w:rsid w:val="006D4425"/>
    <w:rsid w:val="006D4F08"/>
    <w:rsid w:val="006D5348"/>
    <w:rsid w:val="006D7BC8"/>
    <w:rsid w:val="006E014E"/>
    <w:rsid w:val="006E131D"/>
    <w:rsid w:val="006E35C9"/>
    <w:rsid w:val="006E4F34"/>
    <w:rsid w:val="006E5929"/>
    <w:rsid w:val="006E783E"/>
    <w:rsid w:val="006F14FA"/>
    <w:rsid w:val="006F39A0"/>
    <w:rsid w:val="006F3B82"/>
    <w:rsid w:val="006F4633"/>
    <w:rsid w:val="00700331"/>
    <w:rsid w:val="007007FE"/>
    <w:rsid w:val="00700F92"/>
    <w:rsid w:val="0070344F"/>
    <w:rsid w:val="00703593"/>
    <w:rsid w:val="00703664"/>
    <w:rsid w:val="00704203"/>
    <w:rsid w:val="007054C0"/>
    <w:rsid w:val="007066E0"/>
    <w:rsid w:val="00706932"/>
    <w:rsid w:val="0070736C"/>
    <w:rsid w:val="00707D3F"/>
    <w:rsid w:val="00707E56"/>
    <w:rsid w:val="007114DE"/>
    <w:rsid w:val="00711796"/>
    <w:rsid w:val="007117C5"/>
    <w:rsid w:val="0071256E"/>
    <w:rsid w:val="007162F8"/>
    <w:rsid w:val="00716F59"/>
    <w:rsid w:val="00720A6B"/>
    <w:rsid w:val="00721445"/>
    <w:rsid w:val="007215B5"/>
    <w:rsid w:val="00722C9B"/>
    <w:rsid w:val="00723069"/>
    <w:rsid w:val="00724B76"/>
    <w:rsid w:val="00725090"/>
    <w:rsid w:val="0072685F"/>
    <w:rsid w:val="00726EA7"/>
    <w:rsid w:val="00727BA9"/>
    <w:rsid w:val="00731251"/>
    <w:rsid w:val="007348C4"/>
    <w:rsid w:val="007351FA"/>
    <w:rsid w:val="0073567C"/>
    <w:rsid w:val="0073595F"/>
    <w:rsid w:val="00736282"/>
    <w:rsid w:val="007439D9"/>
    <w:rsid w:val="00745B4E"/>
    <w:rsid w:val="00746281"/>
    <w:rsid w:val="0074632C"/>
    <w:rsid w:val="00747CF1"/>
    <w:rsid w:val="00752BCD"/>
    <w:rsid w:val="007533D2"/>
    <w:rsid w:val="0075487E"/>
    <w:rsid w:val="0075516E"/>
    <w:rsid w:val="00755C21"/>
    <w:rsid w:val="00756CB2"/>
    <w:rsid w:val="007574B4"/>
    <w:rsid w:val="00760E10"/>
    <w:rsid w:val="00761BA0"/>
    <w:rsid w:val="00762A65"/>
    <w:rsid w:val="00763481"/>
    <w:rsid w:val="00763579"/>
    <w:rsid w:val="00763906"/>
    <w:rsid w:val="00763BF0"/>
    <w:rsid w:val="00764225"/>
    <w:rsid w:val="00766161"/>
    <w:rsid w:val="00766C58"/>
    <w:rsid w:val="007674BF"/>
    <w:rsid w:val="00770BB3"/>
    <w:rsid w:val="00772803"/>
    <w:rsid w:val="007730F5"/>
    <w:rsid w:val="0077492C"/>
    <w:rsid w:val="00776B8E"/>
    <w:rsid w:val="00782450"/>
    <w:rsid w:val="00783C2F"/>
    <w:rsid w:val="00786D9A"/>
    <w:rsid w:val="00786E5C"/>
    <w:rsid w:val="00794B3C"/>
    <w:rsid w:val="00794FBF"/>
    <w:rsid w:val="00795EA0"/>
    <w:rsid w:val="007968B6"/>
    <w:rsid w:val="00796983"/>
    <w:rsid w:val="007A1641"/>
    <w:rsid w:val="007A3CC8"/>
    <w:rsid w:val="007A5977"/>
    <w:rsid w:val="007A651A"/>
    <w:rsid w:val="007A73CD"/>
    <w:rsid w:val="007B0D97"/>
    <w:rsid w:val="007B3591"/>
    <w:rsid w:val="007B3907"/>
    <w:rsid w:val="007B49DB"/>
    <w:rsid w:val="007B676C"/>
    <w:rsid w:val="007B6A6F"/>
    <w:rsid w:val="007B7FF5"/>
    <w:rsid w:val="007C0B67"/>
    <w:rsid w:val="007C1067"/>
    <w:rsid w:val="007C1103"/>
    <w:rsid w:val="007C14C6"/>
    <w:rsid w:val="007C170D"/>
    <w:rsid w:val="007C2656"/>
    <w:rsid w:val="007C2FF5"/>
    <w:rsid w:val="007C46D3"/>
    <w:rsid w:val="007C62A3"/>
    <w:rsid w:val="007C6C17"/>
    <w:rsid w:val="007C7E71"/>
    <w:rsid w:val="007D0128"/>
    <w:rsid w:val="007D0AD3"/>
    <w:rsid w:val="007D2E32"/>
    <w:rsid w:val="007D7FEB"/>
    <w:rsid w:val="007E0AC9"/>
    <w:rsid w:val="007E12D8"/>
    <w:rsid w:val="007E1408"/>
    <w:rsid w:val="007E19A2"/>
    <w:rsid w:val="007E1B26"/>
    <w:rsid w:val="007E2F87"/>
    <w:rsid w:val="007E4D39"/>
    <w:rsid w:val="007E6BC7"/>
    <w:rsid w:val="007F000F"/>
    <w:rsid w:val="007F05A1"/>
    <w:rsid w:val="007F1839"/>
    <w:rsid w:val="007F29E0"/>
    <w:rsid w:val="007F53AC"/>
    <w:rsid w:val="007F54E8"/>
    <w:rsid w:val="007F676B"/>
    <w:rsid w:val="007F6864"/>
    <w:rsid w:val="0080094C"/>
    <w:rsid w:val="00800F0A"/>
    <w:rsid w:val="00804E67"/>
    <w:rsid w:val="008053D6"/>
    <w:rsid w:val="008056B7"/>
    <w:rsid w:val="00807971"/>
    <w:rsid w:val="00807D56"/>
    <w:rsid w:val="008113C2"/>
    <w:rsid w:val="00811D6D"/>
    <w:rsid w:val="0081234E"/>
    <w:rsid w:val="008126ED"/>
    <w:rsid w:val="0081394E"/>
    <w:rsid w:val="0081439B"/>
    <w:rsid w:val="00814903"/>
    <w:rsid w:val="00815BD1"/>
    <w:rsid w:val="00820873"/>
    <w:rsid w:val="00821E50"/>
    <w:rsid w:val="008226E5"/>
    <w:rsid w:val="008227D0"/>
    <w:rsid w:val="00822806"/>
    <w:rsid w:val="008231B6"/>
    <w:rsid w:val="00823761"/>
    <w:rsid w:val="008246DB"/>
    <w:rsid w:val="008261A9"/>
    <w:rsid w:val="00826416"/>
    <w:rsid w:val="00826468"/>
    <w:rsid w:val="0082717C"/>
    <w:rsid w:val="0082761B"/>
    <w:rsid w:val="008304A8"/>
    <w:rsid w:val="008323CD"/>
    <w:rsid w:val="00832D9E"/>
    <w:rsid w:val="00832EEF"/>
    <w:rsid w:val="00833019"/>
    <w:rsid w:val="008330EE"/>
    <w:rsid w:val="00833B4B"/>
    <w:rsid w:val="00835C6D"/>
    <w:rsid w:val="00836ABD"/>
    <w:rsid w:val="00840F24"/>
    <w:rsid w:val="00840F3B"/>
    <w:rsid w:val="00841A20"/>
    <w:rsid w:val="008423D5"/>
    <w:rsid w:val="008437B4"/>
    <w:rsid w:val="008441B3"/>
    <w:rsid w:val="0084539A"/>
    <w:rsid w:val="008463AC"/>
    <w:rsid w:val="00847AD8"/>
    <w:rsid w:val="00850081"/>
    <w:rsid w:val="008506B1"/>
    <w:rsid w:val="00850CF6"/>
    <w:rsid w:val="00850E34"/>
    <w:rsid w:val="00851E45"/>
    <w:rsid w:val="00852249"/>
    <w:rsid w:val="00852BB2"/>
    <w:rsid w:val="008536F2"/>
    <w:rsid w:val="0085423C"/>
    <w:rsid w:val="00856317"/>
    <w:rsid w:val="0085660C"/>
    <w:rsid w:val="0085670D"/>
    <w:rsid w:val="00862AF6"/>
    <w:rsid w:val="00864FB2"/>
    <w:rsid w:val="008664BD"/>
    <w:rsid w:val="008665F6"/>
    <w:rsid w:val="00866B92"/>
    <w:rsid w:val="00870B22"/>
    <w:rsid w:val="0087342E"/>
    <w:rsid w:val="008737A4"/>
    <w:rsid w:val="00873C47"/>
    <w:rsid w:val="00873F5B"/>
    <w:rsid w:val="008743C6"/>
    <w:rsid w:val="00874DA0"/>
    <w:rsid w:val="0087502F"/>
    <w:rsid w:val="0087517E"/>
    <w:rsid w:val="008773F7"/>
    <w:rsid w:val="00877493"/>
    <w:rsid w:val="00877822"/>
    <w:rsid w:val="00877881"/>
    <w:rsid w:val="00881094"/>
    <w:rsid w:val="00882081"/>
    <w:rsid w:val="008820DB"/>
    <w:rsid w:val="00883CB5"/>
    <w:rsid w:val="0088402A"/>
    <w:rsid w:val="00884DC5"/>
    <w:rsid w:val="00885913"/>
    <w:rsid w:val="0088624F"/>
    <w:rsid w:val="008869C5"/>
    <w:rsid w:val="00886AE5"/>
    <w:rsid w:val="00887185"/>
    <w:rsid w:val="008902BD"/>
    <w:rsid w:val="00890326"/>
    <w:rsid w:val="00891CC2"/>
    <w:rsid w:val="008925EF"/>
    <w:rsid w:val="008937EB"/>
    <w:rsid w:val="008937F7"/>
    <w:rsid w:val="00893B07"/>
    <w:rsid w:val="00893BDF"/>
    <w:rsid w:val="008947AB"/>
    <w:rsid w:val="00895723"/>
    <w:rsid w:val="00895EB7"/>
    <w:rsid w:val="00895EEB"/>
    <w:rsid w:val="008966A1"/>
    <w:rsid w:val="008A2941"/>
    <w:rsid w:val="008A4FD0"/>
    <w:rsid w:val="008A5C97"/>
    <w:rsid w:val="008A5CE1"/>
    <w:rsid w:val="008A5D7E"/>
    <w:rsid w:val="008A6B34"/>
    <w:rsid w:val="008A70D6"/>
    <w:rsid w:val="008B166C"/>
    <w:rsid w:val="008B26E3"/>
    <w:rsid w:val="008B31F0"/>
    <w:rsid w:val="008B3475"/>
    <w:rsid w:val="008B35C4"/>
    <w:rsid w:val="008B68A8"/>
    <w:rsid w:val="008B69E6"/>
    <w:rsid w:val="008B6B90"/>
    <w:rsid w:val="008B7090"/>
    <w:rsid w:val="008B7E39"/>
    <w:rsid w:val="008B7F31"/>
    <w:rsid w:val="008C0AAE"/>
    <w:rsid w:val="008C2D1A"/>
    <w:rsid w:val="008C36FB"/>
    <w:rsid w:val="008C4C99"/>
    <w:rsid w:val="008C4F68"/>
    <w:rsid w:val="008C5AD2"/>
    <w:rsid w:val="008C6E92"/>
    <w:rsid w:val="008C7346"/>
    <w:rsid w:val="008D0A3A"/>
    <w:rsid w:val="008D1102"/>
    <w:rsid w:val="008D28C3"/>
    <w:rsid w:val="008D454C"/>
    <w:rsid w:val="008D6D26"/>
    <w:rsid w:val="008D7CE7"/>
    <w:rsid w:val="008D7D88"/>
    <w:rsid w:val="008E4228"/>
    <w:rsid w:val="008E4BDA"/>
    <w:rsid w:val="008E60BD"/>
    <w:rsid w:val="008E7389"/>
    <w:rsid w:val="008E7856"/>
    <w:rsid w:val="008F1AB2"/>
    <w:rsid w:val="008F45CF"/>
    <w:rsid w:val="008F65E6"/>
    <w:rsid w:val="008F72B1"/>
    <w:rsid w:val="0090003A"/>
    <w:rsid w:val="0090180E"/>
    <w:rsid w:val="00903263"/>
    <w:rsid w:val="009058E1"/>
    <w:rsid w:val="00905931"/>
    <w:rsid w:val="00906179"/>
    <w:rsid w:val="009102B1"/>
    <w:rsid w:val="00912273"/>
    <w:rsid w:val="009134E2"/>
    <w:rsid w:val="00914158"/>
    <w:rsid w:val="00915E62"/>
    <w:rsid w:val="00916956"/>
    <w:rsid w:val="0091730F"/>
    <w:rsid w:val="0092031D"/>
    <w:rsid w:val="00925162"/>
    <w:rsid w:val="009261A3"/>
    <w:rsid w:val="009262D0"/>
    <w:rsid w:val="009278FE"/>
    <w:rsid w:val="00930B3A"/>
    <w:rsid w:val="00930C71"/>
    <w:rsid w:val="00930EA5"/>
    <w:rsid w:val="009316AD"/>
    <w:rsid w:val="0093196F"/>
    <w:rsid w:val="00931A6A"/>
    <w:rsid w:val="00933E59"/>
    <w:rsid w:val="009354B8"/>
    <w:rsid w:val="00936DF8"/>
    <w:rsid w:val="00936F4D"/>
    <w:rsid w:val="009415AB"/>
    <w:rsid w:val="00943162"/>
    <w:rsid w:val="009448AE"/>
    <w:rsid w:val="00944D5E"/>
    <w:rsid w:val="00946BD4"/>
    <w:rsid w:val="00947FCD"/>
    <w:rsid w:val="00950ED4"/>
    <w:rsid w:val="009511A4"/>
    <w:rsid w:val="00951466"/>
    <w:rsid w:val="009519DD"/>
    <w:rsid w:val="00951B83"/>
    <w:rsid w:val="00952C70"/>
    <w:rsid w:val="00953817"/>
    <w:rsid w:val="00954131"/>
    <w:rsid w:val="00955181"/>
    <w:rsid w:val="0095555F"/>
    <w:rsid w:val="00956334"/>
    <w:rsid w:val="009563B7"/>
    <w:rsid w:val="0095725C"/>
    <w:rsid w:val="00957665"/>
    <w:rsid w:val="00961424"/>
    <w:rsid w:val="009616A4"/>
    <w:rsid w:val="009640AD"/>
    <w:rsid w:val="009657A8"/>
    <w:rsid w:val="00966BE8"/>
    <w:rsid w:val="00970A84"/>
    <w:rsid w:val="00973302"/>
    <w:rsid w:val="00973812"/>
    <w:rsid w:val="009764F8"/>
    <w:rsid w:val="00976F14"/>
    <w:rsid w:val="00977AF5"/>
    <w:rsid w:val="009805A9"/>
    <w:rsid w:val="0098102B"/>
    <w:rsid w:val="0098292B"/>
    <w:rsid w:val="0098385B"/>
    <w:rsid w:val="00983FDC"/>
    <w:rsid w:val="00986362"/>
    <w:rsid w:val="00986587"/>
    <w:rsid w:val="00987797"/>
    <w:rsid w:val="00987AE6"/>
    <w:rsid w:val="00990C24"/>
    <w:rsid w:val="00990E71"/>
    <w:rsid w:val="00991662"/>
    <w:rsid w:val="00991E14"/>
    <w:rsid w:val="00994C19"/>
    <w:rsid w:val="00994C49"/>
    <w:rsid w:val="00996628"/>
    <w:rsid w:val="00996FD7"/>
    <w:rsid w:val="009A177D"/>
    <w:rsid w:val="009A198F"/>
    <w:rsid w:val="009A2831"/>
    <w:rsid w:val="009A2975"/>
    <w:rsid w:val="009A2C76"/>
    <w:rsid w:val="009A2C9D"/>
    <w:rsid w:val="009A3CF0"/>
    <w:rsid w:val="009A41DE"/>
    <w:rsid w:val="009A45E4"/>
    <w:rsid w:val="009A4966"/>
    <w:rsid w:val="009A4D58"/>
    <w:rsid w:val="009A5589"/>
    <w:rsid w:val="009A5624"/>
    <w:rsid w:val="009A6D24"/>
    <w:rsid w:val="009A7354"/>
    <w:rsid w:val="009A798E"/>
    <w:rsid w:val="009B2602"/>
    <w:rsid w:val="009B2A48"/>
    <w:rsid w:val="009B32D5"/>
    <w:rsid w:val="009B3E86"/>
    <w:rsid w:val="009B56CE"/>
    <w:rsid w:val="009B6414"/>
    <w:rsid w:val="009B69CD"/>
    <w:rsid w:val="009C0B51"/>
    <w:rsid w:val="009C129F"/>
    <w:rsid w:val="009C1B4C"/>
    <w:rsid w:val="009C2297"/>
    <w:rsid w:val="009C3061"/>
    <w:rsid w:val="009C31B7"/>
    <w:rsid w:val="009C5B2D"/>
    <w:rsid w:val="009C6364"/>
    <w:rsid w:val="009C6E1B"/>
    <w:rsid w:val="009C743D"/>
    <w:rsid w:val="009D0207"/>
    <w:rsid w:val="009D09CD"/>
    <w:rsid w:val="009D114D"/>
    <w:rsid w:val="009D1D33"/>
    <w:rsid w:val="009D4A3F"/>
    <w:rsid w:val="009D5A5E"/>
    <w:rsid w:val="009D5BEB"/>
    <w:rsid w:val="009D745A"/>
    <w:rsid w:val="009E0097"/>
    <w:rsid w:val="009E017B"/>
    <w:rsid w:val="009E0295"/>
    <w:rsid w:val="009E1D62"/>
    <w:rsid w:val="009E2BB2"/>
    <w:rsid w:val="009E3C13"/>
    <w:rsid w:val="009E40DF"/>
    <w:rsid w:val="009E42FE"/>
    <w:rsid w:val="009E5022"/>
    <w:rsid w:val="009E6F98"/>
    <w:rsid w:val="009E6FA8"/>
    <w:rsid w:val="009F0174"/>
    <w:rsid w:val="009F04E8"/>
    <w:rsid w:val="009F0D27"/>
    <w:rsid w:val="009F36FE"/>
    <w:rsid w:val="009F547D"/>
    <w:rsid w:val="009F56E3"/>
    <w:rsid w:val="009F64B8"/>
    <w:rsid w:val="009F653C"/>
    <w:rsid w:val="009F6A54"/>
    <w:rsid w:val="009F7904"/>
    <w:rsid w:val="009F7A3A"/>
    <w:rsid w:val="009F7ED5"/>
    <w:rsid w:val="00A00506"/>
    <w:rsid w:val="00A01754"/>
    <w:rsid w:val="00A019EC"/>
    <w:rsid w:val="00A058BA"/>
    <w:rsid w:val="00A0657C"/>
    <w:rsid w:val="00A11088"/>
    <w:rsid w:val="00A13139"/>
    <w:rsid w:val="00A13DC1"/>
    <w:rsid w:val="00A1458C"/>
    <w:rsid w:val="00A1552E"/>
    <w:rsid w:val="00A1652D"/>
    <w:rsid w:val="00A16A41"/>
    <w:rsid w:val="00A22F42"/>
    <w:rsid w:val="00A230E7"/>
    <w:rsid w:val="00A24B54"/>
    <w:rsid w:val="00A25589"/>
    <w:rsid w:val="00A25CA6"/>
    <w:rsid w:val="00A2733B"/>
    <w:rsid w:val="00A27826"/>
    <w:rsid w:val="00A30232"/>
    <w:rsid w:val="00A305F1"/>
    <w:rsid w:val="00A30C69"/>
    <w:rsid w:val="00A33CAC"/>
    <w:rsid w:val="00A34E7C"/>
    <w:rsid w:val="00A35724"/>
    <w:rsid w:val="00A375DD"/>
    <w:rsid w:val="00A37F2F"/>
    <w:rsid w:val="00A40A32"/>
    <w:rsid w:val="00A42615"/>
    <w:rsid w:val="00A446AB"/>
    <w:rsid w:val="00A4497A"/>
    <w:rsid w:val="00A44DEA"/>
    <w:rsid w:val="00A45579"/>
    <w:rsid w:val="00A45911"/>
    <w:rsid w:val="00A47BA4"/>
    <w:rsid w:val="00A527F4"/>
    <w:rsid w:val="00A542C0"/>
    <w:rsid w:val="00A54314"/>
    <w:rsid w:val="00A548F6"/>
    <w:rsid w:val="00A57E36"/>
    <w:rsid w:val="00A600ED"/>
    <w:rsid w:val="00A6072B"/>
    <w:rsid w:val="00A62971"/>
    <w:rsid w:val="00A66C1B"/>
    <w:rsid w:val="00A67C80"/>
    <w:rsid w:val="00A67E2A"/>
    <w:rsid w:val="00A67F27"/>
    <w:rsid w:val="00A70439"/>
    <w:rsid w:val="00A706F8"/>
    <w:rsid w:val="00A714F8"/>
    <w:rsid w:val="00A72B05"/>
    <w:rsid w:val="00A73406"/>
    <w:rsid w:val="00A7343A"/>
    <w:rsid w:val="00A7388D"/>
    <w:rsid w:val="00A741A2"/>
    <w:rsid w:val="00A750AD"/>
    <w:rsid w:val="00A7573D"/>
    <w:rsid w:val="00A762D2"/>
    <w:rsid w:val="00A76D98"/>
    <w:rsid w:val="00A77016"/>
    <w:rsid w:val="00A805D5"/>
    <w:rsid w:val="00A845F8"/>
    <w:rsid w:val="00A85D01"/>
    <w:rsid w:val="00A862B3"/>
    <w:rsid w:val="00A86A6F"/>
    <w:rsid w:val="00A87C94"/>
    <w:rsid w:val="00A87D80"/>
    <w:rsid w:val="00A921F4"/>
    <w:rsid w:val="00A9343F"/>
    <w:rsid w:val="00A935F2"/>
    <w:rsid w:val="00A9363C"/>
    <w:rsid w:val="00A93C62"/>
    <w:rsid w:val="00A949C7"/>
    <w:rsid w:val="00A95947"/>
    <w:rsid w:val="00A95A43"/>
    <w:rsid w:val="00A95AE3"/>
    <w:rsid w:val="00A96CAF"/>
    <w:rsid w:val="00AA02C0"/>
    <w:rsid w:val="00AA09D0"/>
    <w:rsid w:val="00AA1974"/>
    <w:rsid w:val="00AA1F72"/>
    <w:rsid w:val="00AA3985"/>
    <w:rsid w:val="00AA42C5"/>
    <w:rsid w:val="00AA42E2"/>
    <w:rsid w:val="00AA4BF4"/>
    <w:rsid w:val="00AA4D79"/>
    <w:rsid w:val="00AA6F08"/>
    <w:rsid w:val="00AB2207"/>
    <w:rsid w:val="00AB2A6E"/>
    <w:rsid w:val="00AB4659"/>
    <w:rsid w:val="00AB4A31"/>
    <w:rsid w:val="00AB4C12"/>
    <w:rsid w:val="00AB502D"/>
    <w:rsid w:val="00AB7B73"/>
    <w:rsid w:val="00AB7DC8"/>
    <w:rsid w:val="00AC016C"/>
    <w:rsid w:val="00AC0CF8"/>
    <w:rsid w:val="00AC13BA"/>
    <w:rsid w:val="00AC1615"/>
    <w:rsid w:val="00AC29FB"/>
    <w:rsid w:val="00AC328D"/>
    <w:rsid w:val="00AC370D"/>
    <w:rsid w:val="00AC5036"/>
    <w:rsid w:val="00AC516A"/>
    <w:rsid w:val="00AC5207"/>
    <w:rsid w:val="00AC61EF"/>
    <w:rsid w:val="00AC64BC"/>
    <w:rsid w:val="00AC7367"/>
    <w:rsid w:val="00AC7D37"/>
    <w:rsid w:val="00AD0F95"/>
    <w:rsid w:val="00AD10C2"/>
    <w:rsid w:val="00AD184C"/>
    <w:rsid w:val="00AD246B"/>
    <w:rsid w:val="00AD3A04"/>
    <w:rsid w:val="00AD3D38"/>
    <w:rsid w:val="00AD4927"/>
    <w:rsid w:val="00AE180F"/>
    <w:rsid w:val="00AE1E9F"/>
    <w:rsid w:val="00AE2B36"/>
    <w:rsid w:val="00AE2E91"/>
    <w:rsid w:val="00AE3D9F"/>
    <w:rsid w:val="00AE5897"/>
    <w:rsid w:val="00AE6D3B"/>
    <w:rsid w:val="00AE74B5"/>
    <w:rsid w:val="00AE7E40"/>
    <w:rsid w:val="00AE7EDA"/>
    <w:rsid w:val="00AF102B"/>
    <w:rsid w:val="00AF1242"/>
    <w:rsid w:val="00AF2858"/>
    <w:rsid w:val="00AF2C1C"/>
    <w:rsid w:val="00AF2E80"/>
    <w:rsid w:val="00AF393D"/>
    <w:rsid w:val="00AF3C5E"/>
    <w:rsid w:val="00AF46CD"/>
    <w:rsid w:val="00AF531E"/>
    <w:rsid w:val="00AF5677"/>
    <w:rsid w:val="00AF648D"/>
    <w:rsid w:val="00AF6B3E"/>
    <w:rsid w:val="00AF786E"/>
    <w:rsid w:val="00B003B2"/>
    <w:rsid w:val="00B0073D"/>
    <w:rsid w:val="00B00A4A"/>
    <w:rsid w:val="00B00DFB"/>
    <w:rsid w:val="00B019E8"/>
    <w:rsid w:val="00B05E55"/>
    <w:rsid w:val="00B06126"/>
    <w:rsid w:val="00B071FE"/>
    <w:rsid w:val="00B07D28"/>
    <w:rsid w:val="00B101C9"/>
    <w:rsid w:val="00B10427"/>
    <w:rsid w:val="00B104E4"/>
    <w:rsid w:val="00B12B29"/>
    <w:rsid w:val="00B12E2F"/>
    <w:rsid w:val="00B13D07"/>
    <w:rsid w:val="00B1722A"/>
    <w:rsid w:val="00B2022A"/>
    <w:rsid w:val="00B2151C"/>
    <w:rsid w:val="00B216B8"/>
    <w:rsid w:val="00B218AF"/>
    <w:rsid w:val="00B2279C"/>
    <w:rsid w:val="00B22A16"/>
    <w:rsid w:val="00B2301B"/>
    <w:rsid w:val="00B233B1"/>
    <w:rsid w:val="00B23A45"/>
    <w:rsid w:val="00B23C72"/>
    <w:rsid w:val="00B26924"/>
    <w:rsid w:val="00B30724"/>
    <w:rsid w:val="00B35C4B"/>
    <w:rsid w:val="00B36798"/>
    <w:rsid w:val="00B37BFB"/>
    <w:rsid w:val="00B37E64"/>
    <w:rsid w:val="00B414ED"/>
    <w:rsid w:val="00B42C47"/>
    <w:rsid w:val="00B43D7B"/>
    <w:rsid w:val="00B45271"/>
    <w:rsid w:val="00B455DF"/>
    <w:rsid w:val="00B458E3"/>
    <w:rsid w:val="00B46742"/>
    <w:rsid w:val="00B4730A"/>
    <w:rsid w:val="00B47569"/>
    <w:rsid w:val="00B5022E"/>
    <w:rsid w:val="00B50DD1"/>
    <w:rsid w:val="00B54F3F"/>
    <w:rsid w:val="00B57886"/>
    <w:rsid w:val="00B60950"/>
    <w:rsid w:val="00B60C8B"/>
    <w:rsid w:val="00B6234C"/>
    <w:rsid w:val="00B62DC2"/>
    <w:rsid w:val="00B62E10"/>
    <w:rsid w:val="00B6390E"/>
    <w:rsid w:val="00B63972"/>
    <w:rsid w:val="00B6481F"/>
    <w:rsid w:val="00B67C80"/>
    <w:rsid w:val="00B67DEF"/>
    <w:rsid w:val="00B7000B"/>
    <w:rsid w:val="00B7004F"/>
    <w:rsid w:val="00B70730"/>
    <w:rsid w:val="00B709AB"/>
    <w:rsid w:val="00B70F42"/>
    <w:rsid w:val="00B7152D"/>
    <w:rsid w:val="00B71B88"/>
    <w:rsid w:val="00B7236B"/>
    <w:rsid w:val="00B727E9"/>
    <w:rsid w:val="00B72F8B"/>
    <w:rsid w:val="00B75544"/>
    <w:rsid w:val="00B756A0"/>
    <w:rsid w:val="00B760F3"/>
    <w:rsid w:val="00B77CAE"/>
    <w:rsid w:val="00B803E2"/>
    <w:rsid w:val="00B806EF"/>
    <w:rsid w:val="00B808AD"/>
    <w:rsid w:val="00B808C2"/>
    <w:rsid w:val="00B80A9C"/>
    <w:rsid w:val="00B80F0A"/>
    <w:rsid w:val="00B81C18"/>
    <w:rsid w:val="00B843B8"/>
    <w:rsid w:val="00B851BF"/>
    <w:rsid w:val="00B86F68"/>
    <w:rsid w:val="00B87C06"/>
    <w:rsid w:val="00B913A2"/>
    <w:rsid w:val="00B92713"/>
    <w:rsid w:val="00B946B0"/>
    <w:rsid w:val="00B95187"/>
    <w:rsid w:val="00B97AE5"/>
    <w:rsid w:val="00BA0071"/>
    <w:rsid w:val="00BA0E3E"/>
    <w:rsid w:val="00BA14E3"/>
    <w:rsid w:val="00BA2D62"/>
    <w:rsid w:val="00BA3A7C"/>
    <w:rsid w:val="00BA3C61"/>
    <w:rsid w:val="00BA3F2F"/>
    <w:rsid w:val="00BA4696"/>
    <w:rsid w:val="00BA5C73"/>
    <w:rsid w:val="00BA6212"/>
    <w:rsid w:val="00BA6D0D"/>
    <w:rsid w:val="00BB0605"/>
    <w:rsid w:val="00BB0F08"/>
    <w:rsid w:val="00BB15B4"/>
    <w:rsid w:val="00BB1DEC"/>
    <w:rsid w:val="00BB3927"/>
    <w:rsid w:val="00BB4409"/>
    <w:rsid w:val="00BB70C1"/>
    <w:rsid w:val="00BC0B9C"/>
    <w:rsid w:val="00BC1165"/>
    <w:rsid w:val="00BC13BB"/>
    <w:rsid w:val="00BC1E28"/>
    <w:rsid w:val="00BC2238"/>
    <w:rsid w:val="00BC25B5"/>
    <w:rsid w:val="00BC2C50"/>
    <w:rsid w:val="00BC31AD"/>
    <w:rsid w:val="00BC524C"/>
    <w:rsid w:val="00BC698B"/>
    <w:rsid w:val="00BC71BF"/>
    <w:rsid w:val="00BC7204"/>
    <w:rsid w:val="00BC7EE7"/>
    <w:rsid w:val="00BD0041"/>
    <w:rsid w:val="00BD15E7"/>
    <w:rsid w:val="00BD624D"/>
    <w:rsid w:val="00BD6C0B"/>
    <w:rsid w:val="00BE12B3"/>
    <w:rsid w:val="00BE1624"/>
    <w:rsid w:val="00BE327C"/>
    <w:rsid w:val="00BE3581"/>
    <w:rsid w:val="00BE4C5D"/>
    <w:rsid w:val="00BE6612"/>
    <w:rsid w:val="00BE703E"/>
    <w:rsid w:val="00BF047B"/>
    <w:rsid w:val="00BF158E"/>
    <w:rsid w:val="00BF2323"/>
    <w:rsid w:val="00BF3274"/>
    <w:rsid w:val="00BF3775"/>
    <w:rsid w:val="00BF4F9E"/>
    <w:rsid w:val="00BF5819"/>
    <w:rsid w:val="00BF66DF"/>
    <w:rsid w:val="00BF6A73"/>
    <w:rsid w:val="00BF7207"/>
    <w:rsid w:val="00BF73FA"/>
    <w:rsid w:val="00C01367"/>
    <w:rsid w:val="00C01BDA"/>
    <w:rsid w:val="00C0316A"/>
    <w:rsid w:val="00C03751"/>
    <w:rsid w:val="00C03A51"/>
    <w:rsid w:val="00C04443"/>
    <w:rsid w:val="00C04FCB"/>
    <w:rsid w:val="00C05215"/>
    <w:rsid w:val="00C052C6"/>
    <w:rsid w:val="00C07144"/>
    <w:rsid w:val="00C109FD"/>
    <w:rsid w:val="00C117E3"/>
    <w:rsid w:val="00C11B7E"/>
    <w:rsid w:val="00C12B3D"/>
    <w:rsid w:val="00C13D95"/>
    <w:rsid w:val="00C14A15"/>
    <w:rsid w:val="00C15D7B"/>
    <w:rsid w:val="00C16270"/>
    <w:rsid w:val="00C16D62"/>
    <w:rsid w:val="00C22C64"/>
    <w:rsid w:val="00C22E45"/>
    <w:rsid w:val="00C232B4"/>
    <w:rsid w:val="00C233D3"/>
    <w:rsid w:val="00C23A69"/>
    <w:rsid w:val="00C24A6B"/>
    <w:rsid w:val="00C2541E"/>
    <w:rsid w:val="00C3099C"/>
    <w:rsid w:val="00C30E73"/>
    <w:rsid w:val="00C32128"/>
    <w:rsid w:val="00C32C71"/>
    <w:rsid w:val="00C3361B"/>
    <w:rsid w:val="00C33ABC"/>
    <w:rsid w:val="00C33F28"/>
    <w:rsid w:val="00C35CCE"/>
    <w:rsid w:val="00C3605B"/>
    <w:rsid w:val="00C4018E"/>
    <w:rsid w:val="00C413AB"/>
    <w:rsid w:val="00C41AE7"/>
    <w:rsid w:val="00C41B65"/>
    <w:rsid w:val="00C42721"/>
    <w:rsid w:val="00C43D7D"/>
    <w:rsid w:val="00C43EFD"/>
    <w:rsid w:val="00C43F1E"/>
    <w:rsid w:val="00C44254"/>
    <w:rsid w:val="00C44EBA"/>
    <w:rsid w:val="00C450EA"/>
    <w:rsid w:val="00C47D72"/>
    <w:rsid w:val="00C5239C"/>
    <w:rsid w:val="00C52504"/>
    <w:rsid w:val="00C529B2"/>
    <w:rsid w:val="00C52D4C"/>
    <w:rsid w:val="00C52FCA"/>
    <w:rsid w:val="00C531F1"/>
    <w:rsid w:val="00C53998"/>
    <w:rsid w:val="00C53BAC"/>
    <w:rsid w:val="00C53F8E"/>
    <w:rsid w:val="00C545FB"/>
    <w:rsid w:val="00C5491F"/>
    <w:rsid w:val="00C55242"/>
    <w:rsid w:val="00C55A9D"/>
    <w:rsid w:val="00C573C0"/>
    <w:rsid w:val="00C609F7"/>
    <w:rsid w:val="00C6372A"/>
    <w:rsid w:val="00C6500C"/>
    <w:rsid w:val="00C65B81"/>
    <w:rsid w:val="00C717FE"/>
    <w:rsid w:val="00C71F15"/>
    <w:rsid w:val="00C754F3"/>
    <w:rsid w:val="00C76977"/>
    <w:rsid w:val="00C76CCB"/>
    <w:rsid w:val="00C8021D"/>
    <w:rsid w:val="00C814EF"/>
    <w:rsid w:val="00C81F38"/>
    <w:rsid w:val="00C82A6E"/>
    <w:rsid w:val="00C82ABB"/>
    <w:rsid w:val="00C82D1C"/>
    <w:rsid w:val="00C84FF0"/>
    <w:rsid w:val="00C85F33"/>
    <w:rsid w:val="00C87ABC"/>
    <w:rsid w:val="00C905D1"/>
    <w:rsid w:val="00C909D4"/>
    <w:rsid w:val="00C912CA"/>
    <w:rsid w:val="00C91DD0"/>
    <w:rsid w:val="00C94876"/>
    <w:rsid w:val="00C94A80"/>
    <w:rsid w:val="00C96D04"/>
    <w:rsid w:val="00C97A90"/>
    <w:rsid w:val="00CA025A"/>
    <w:rsid w:val="00CA07AF"/>
    <w:rsid w:val="00CA0D2B"/>
    <w:rsid w:val="00CA1861"/>
    <w:rsid w:val="00CA212F"/>
    <w:rsid w:val="00CA2676"/>
    <w:rsid w:val="00CA3780"/>
    <w:rsid w:val="00CA6B47"/>
    <w:rsid w:val="00CA71E2"/>
    <w:rsid w:val="00CA7F74"/>
    <w:rsid w:val="00CB1E3E"/>
    <w:rsid w:val="00CB2173"/>
    <w:rsid w:val="00CB257F"/>
    <w:rsid w:val="00CB2EF4"/>
    <w:rsid w:val="00CB31CC"/>
    <w:rsid w:val="00CB4D19"/>
    <w:rsid w:val="00CB56EB"/>
    <w:rsid w:val="00CB66E4"/>
    <w:rsid w:val="00CB7874"/>
    <w:rsid w:val="00CB7B28"/>
    <w:rsid w:val="00CC120A"/>
    <w:rsid w:val="00CC26D1"/>
    <w:rsid w:val="00CC4F13"/>
    <w:rsid w:val="00CC5903"/>
    <w:rsid w:val="00CC638D"/>
    <w:rsid w:val="00CC6412"/>
    <w:rsid w:val="00CC7B6B"/>
    <w:rsid w:val="00CD1D8D"/>
    <w:rsid w:val="00CD20EE"/>
    <w:rsid w:val="00CD2768"/>
    <w:rsid w:val="00CD2E63"/>
    <w:rsid w:val="00CD3BC0"/>
    <w:rsid w:val="00CD3DEE"/>
    <w:rsid w:val="00CE0089"/>
    <w:rsid w:val="00CE0B08"/>
    <w:rsid w:val="00CE20F4"/>
    <w:rsid w:val="00CE3594"/>
    <w:rsid w:val="00CE3BA4"/>
    <w:rsid w:val="00CE4053"/>
    <w:rsid w:val="00CE4055"/>
    <w:rsid w:val="00CE48BC"/>
    <w:rsid w:val="00CE6668"/>
    <w:rsid w:val="00CE73F7"/>
    <w:rsid w:val="00CE7A2D"/>
    <w:rsid w:val="00CF01AC"/>
    <w:rsid w:val="00CF047D"/>
    <w:rsid w:val="00CF0934"/>
    <w:rsid w:val="00CF0D22"/>
    <w:rsid w:val="00CF1F89"/>
    <w:rsid w:val="00CF395D"/>
    <w:rsid w:val="00CF47EA"/>
    <w:rsid w:val="00CF4B1C"/>
    <w:rsid w:val="00CF60AD"/>
    <w:rsid w:val="00D008D4"/>
    <w:rsid w:val="00D016E5"/>
    <w:rsid w:val="00D03A73"/>
    <w:rsid w:val="00D03CB4"/>
    <w:rsid w:val="00D06B7E"/>
    <w:rsid w:val="00D07775"/>
    <w:rsid w:val="00D07BDF"/>
    <w:rsid w:val="00D11B78"/>
    <w:rsid w:val="00D166AF"/>
    <w:rsid w:val="00D16752"/>
    <w:rsid w:val="00D17F18"/>
    <w:rsid w:val="00D20CD4"/>
    <w:rsid w:val="00D2106A"/>
    <w:rsid w:val="00D23C30"/>
    <w:rsid w:val="00D25184"/>
    <w:rsid w:val="00D26129"/>
    <w:rsid w:val="00D26397"/>
    <w:rsid w:val="00D266D4"/>
    <w:rsid w:val="00D26A5F"/>
    <w:rsid w:val="00D27881"/>
    <w:rsid w:val="00D30452"/>
    <w:rsid w:val="00D31180"/>
    <w:rsid w:val="00D32D38"/>
    <w:rsid w:val="00D3524E"/>
    <w:rsid w:val="00D35C07"/>
    <w:rsid w:val="00D36875"/>
    <w:rsid w:val="00D369EB"/>
    <w:rsid w:val="00D40AE0"/>
    <w:rsid w:val="00D41833"/>
    <w:rsid w:val="00D42CDA"/>
    <w:rsid w:val="00D430B2"/>
    <w:rsid w:val="00D45635"/>
    <w:rsid w:val="00D45FD1"/>
    <w:rsid w:val="00D471C8"/>
    <w:rsid w:val="00D47211"/>
    <w:rsid w:val="00D472F3"/>
    <w:rsid w:val="00D478E1"/>
    <w:rsid w:val="00D507B6"/>
    <w:rsid w:val="00D51AB8"/>
    <w:rsid w:val="00D5200E"/>
    <w:rsid w:val="00D529AA"/>
    <w:rsid w:val="00D53B78"/>
    <w:rsid w:val="00D54485"/>
    <w:rsid w:val="00D551E3"/>
    <w:rsid w:val="00D578FC"/>
    <w:rsid w:val="00D600AF"/>
    <w:rsid w:val="00D60876"/>
    <w:rsid w:val="00D60FEA"/>
    <w:rsid w:val="00D6105F"/>
    <w:rsid w:val="00D62596"/>
    <w:rsid w:val="00D62BE6"/>
    <w:rsid w:val="00D62F22"/>
    <w:rsid w:val="00D630C6"/>
    <w:rsid w:val="00D64911"/>
    <w:rsid w:val="00D64F7C"/>
    <w:rsid w:val="00D656A2"/>
    <w:rsid w:val="00D6699F"/>
    <w:rsid w:val="00D66CC3"/>
    <w:rsid w:val="00D67215"/>
    <w:rsid w:val="00D71B8F"/>
    <w:rsid w:val="00D729CA"/>
    <w:rsid w:val="00D7367D"/>
    <w:rsid w:val="00D736CD"/>
    <w:rsid w:val="00D73AEC"/>
    <w:rsid w:val="00D777C1"/>
    <w:rsid w:val="00D80C35"/>
    <w:rsid w:val="00D841E8"/>
    <w:rsid w:val="00D84496"/>
    <w:rsid w:val="00D86087"/>
    <w:rsid w:val="00D8655D"/>
    <w:rsid w:val="00D9075E"/>
    <w:rsid w:val="00D914B2"/>
    <w:rsid w:val="00D914F3"/>
    <w:rsid w:val="00D9273C"/>
    <w:rsid w:val="00D95B2F"/>
    <w:rsid w:val="00D972B1"/>
    <w:rsid w:val="00DA0077"/>
    <w:rsid w:val="00DA0C96"/>
    <w:rsid w:val="00DA1686"/>
    <w:rsid w:val="00DA5BBF"/>
    <w:rsid w:val="00DA61B2"/>
    <w:rsid w:val="00DA6FE3"/>
    <w:rsid w:val="00DA7154"/>
    <w:rsid w:val="00DA7899"/>
    <w:rsid w:val="00DB08B3"/>
    <w:rsid w:val="00DB0A4C"/>
    <w:rsid w:val="00DB0BDF"/>
    <w:rsid w:val="00DB2EB3"/>
    <w:rsid w:val="00DB56FD"/>
    <w:rsid w:val="00DB77FD"/>
    <w:rsid w:val="00DB7F5E"/>
    <w:rsid w:val="00DC08AF"/>
    <w:rsid w:val="00DC0DE3"/>
    <w:rsid w:val="00DC130C"/>
    <w:rsid w:val="00DC1492"/>
    <w:rsid w:val="00DC1F44"/>
    <w:rsid w:val="00DC22DF"/>
    <w:rsid w:val="00DC3745"/>
    <w:rsid w:val="00DC5E56"/>
    <w:rsid w:val="00DC6351"/>
    <w:rsid w:val="00DC6C3C"/>
    <w:rsid w:val="00DC70C3"/>
    <w:rsid w:val="00DC75B9"/>
    <w:rsid w:val="00DD1508"/>
    <w:rsid w:val="00DD1EAF"/>
    <w:rsid w:val="00DD31F8"/>
    <w:rsid w:val="00DD3B84"/>
    <w:rsid w:val="00DD4073"/>
    <w:rsid w:val="00DD56A0"/>
    <w:rsid w:val="00DD57B7"/>
    <w:rsid w:val="00DD599C"/>
    <w:rsid w:val="00DD5B07"/>
    <w:rsid w:val="00DD60B8"/>
    <w:rsid w:val="00DE0A20"/>
    <w:rsid w:val="00DE0F74"/>
    <w:rsid w:val="00DE1843"/>
    <w:rsid w:val="00DE19F6"/>
    <w:rsid w:val="00DE208B"/>
    <w:rsid w:val="00DE5B1D"/>
    <w:rsid w:val="00DE7193"/>
    <w:rsid w:val="00DF341F"/>
    <w:rsid w:val="00DF48DE"/>
    <w:rsid w:val="00DF582B"/>
    <w:rsid w:val="00DF6165"/>
    <w:rsid w:val="00DF668D"/>
    <w:rsid w:val="00DF67B2"/>
    <w:rsid w:val="00DF7429"/>
    <w:rsid w:val="00E007C1"/>
    <w:rsid w:val="00E01134"/>
    <w:rsid w:val="00E021E0"/>
    <w:rsid w:val="00E054C0"/>
    <w:rsid w:val="00E058FE"/>
    <w:rsid w:val="00E06871"/>
    <w:rsid w:val="00E07C9A"/>
    <w:rsid w:val="00E1041B"/>
    <w:rsid w:val="00E11276"/>
    <w:rsid w:val="00E124E0"/>
    <w:rsid w:val="00E12E2B"/>
    <w:rsid w:val="00E13B55"/>
    <w:rsid w:val="00E14B99"/>
    <w:rsid w:val="00E15851"/>
    <w:rsid w:val="00E15CB4"/>
    <w:rsid w:val="00E16D97"/>
    <w:rsid w:val="00E20EEA"/>
    <w:rsid w:val="00E216E5"/>
    <w:rsid w:val="00E23898"/>
    <w:rsid w:val="00E25397"/>
    <w:rsid w:val="00E25A1C"/>
    <w:rsid w:val="00E27F0A"/>
    <w:rsid w:val="00E3016C"/>
    <w:rsid w:val="00E32EED"/>
    <w:rsid w:val="00E34300"/>
    <w:rsid w:val="00E347B5"/>
    <w:rsid w:val="00E34BA8"/>
    <w:rsid w:val="00E3535A"/>
    <w:rsid w:val="00E35886"/>
    <w:rsid w:val="00E36129"/>
    <w:rsid w:val="00E37720"/>
    <w:rsid w:val="00E41EBF"/>
    <w:rsid w:val="00E43186"/>
    <w:rsid w:val="00E442BC"/>
    <w:rsid w:val="00E44D4C"/>
    <w:rsid w:val="00E4591E"/>
    <w:rsid w:val="00E46011"/>
    <w:rsid w:val="00E460D4"/>
    <w:rsid w:val="00E47459"/>
    <w:rsid w:val="00E5114F"/>
    <w:rsid w:val="00E512FB"/>
    <w:rsid w:val="00E51C49"/>
    <w:rsid w:val="00E53693"/>
    <w:rsid w:val="00E54391"/>
    <w:rsid w:val="00E552D3"/>
    <w:rsid w:val="00E56ADA"/>
    <w:rsid w:val="00E60C6E"/>
    <w:rsid w:val="00E6247A"/>
    <w:rsid w:val="00E627EE"/>
    <w:rsid w:val="00E62968"/>
    <w:rsid w:val="00E63BAE"/>
    <w:rsid w:val="00E6421A"/>
    <w:rsid w:val="00E6520F"/>
    <w:rsid w:val="00E65902"/>
    <w:rsid w:val="00E6646C"/>
    <w:rsid w:val="00E70ACE"/>
    <w:rsid w:val="00E746A1"/>
    <w:rsid w:val="00E749BC"/>
    <w:rsid w:val="00E74D55"/>
    <w:rsid w:val="00E75161"/>
    <w:rsid w:val="00E753D6"/>
    <w:rsid w:val="00E754AF"/>
    <w:rsid w:val="00E76934"/>
    <w:rsid w:val="00E76A60"/>
    <w:rsid w:val="00E76F04"/>
    <w:rsid w:val="00E779F9"/>
    <w:rsid w:val="00E77F67"/>
    <w:rsid w:val="00E77FFC"/>
    <w:rsid w:val="00E812EB"/>
    <w:rsid w:val="00E81681"/>
    <w:rsid w:val="00E82311"/>
    <w:rsid w:val="00E82348"/>
    <w:rsid w:val="00E8269E"/>
    <w:rsid w:val="00E8347A"/>
    <w:rsid w:val="00E837A1"/>
    <w:rsid w:val="00E84882"/>
    <w:rsid w:val="00E8497E"/>
    <w:rsid w:val="00E8500B"/>
    <w:rsid w:val="00E85740"/>
    <w:rsid w:val="00E87657"/>
    <w:rsid w:val="00E904BD"/>
    <w:rsid w:val="00E90563"/>
    <w:rsid w:val="00E90F33"/>
    <w:rsid w:val="00E91E95"/>
    <w:rsid w:val="00E92E62"/>
    <w:rsid w:val="00E92F48"/>
    <w:rsid w:val="00E930F1"/>
    <w:rsid w:val="00E93EFA"/>
    <w:rsid w:val="00E93F41"/>
    <w:rsid w:val="00E9475F"/>
    <w:rsid w:val="00E94AD0"/>
    <w:rsid w:val="00E94B16"/>
    <w:rsid w:val="00E95429"/>
    <w:rsid w:val="00E95D1B"/>
    <w:rsid w:val="00E96208"/>
    <w:rsid w:val="00E975EF"/>
    <w:rsid w:val="00E977A7"/>
    <w:rsid w:val="00E97A21"/>
    <w:rsid w:val="00E97F98"/>
    <w:rsid w:val="00EA0A7B"/>
    <w:rsid w:val="00EA0C9B"/>
    <w:rsid w:val="00EA144D"/>
    <w:rsid w:val="00EA2A06"/>
    <w:rsid w:val="00EA33B9"/>
    <w:rsid w:val="00EA3461"/>
    <w:rsid w:val="00EA3B50"/>
    <w:rsid w:val="00EA5880"/>
    <w:rsid w:val="00EA6EF8"/>
    <w:rsid w:val="00EA7A1A"/>
    <w:rsid w:val="00EA7D00"/>
    <w:rsid w:val="00EB242F"/>
    <w:rsid w:val="00EB25F3"/>
    <w:rsid w:val="00EB2DD4"/>
    <w:rsid w:val="00EB5BAB"/>
    <w:rsid w:val="00EB6C4B"/>
    <w:rsid w:val="00EB7749"/>
    <w:rsid w:val="00EC0442"/>
    <w:rsid w:val="00EC3A0D"/>
    <w:rsid w:val="00EC45FF"/>
    <w:rsid w:val="00EC4601"/>
    <w:rsid w:val="00EC47B1"/>
    <w:rsid w:val="00EC6486"/>
    <w:rsid w:val="00EC709B"/>
    <w:rsid w:val="00EC7A50"/>
    <w:rsid w:val="00ED0D4A"/>
    <w:rsid w:val="00ED3C90"/>
    <w:rsid w:val="00ED4BE3"/>
    <w:rsid w:val="00ED4D3E"/>
    <w:rsid w:val="00ED6283"/>
    <w:rsid w:val="00ED6922"/>
    <w:rsid w:val="00ED6B41"/>
    <w:rsid w:val="00ED714A"/>
    <w:rsid w:val="00ED7BCA"/>
    <w:rsid w:val="00EE1421"/>
    <w:rsid w:val="00EE269B"/>
    <w:rsid w:val="00EE29B8"/>
    <w:rsid w:val="00EE3AAC"/>
    <w:rsid w:val="00EE4DFB"/>
    <w:rsid w:val="00EE5346"/>
    <w:rsid w:val="00EE56BB"/>
    <w:rsid w:val="00EE6BDD"/>
    <w:rsid w:val="00EE771B"/>
    <w:rsid w:val="00EE7ABF"/>
    <w:rsid w:val="00EE7E76"/>
    <w:rsid w:val="00EF29A0"/>
    <w:rsid w:val="00EF5E96"/>
    <w:rsid w:val="00EF745E"/>
    <w:rsid w:val="00EF7E98"/>
    <w:rsid w:val="00F00C68"/>
    <w:rsid w:val="00F01CA0"/>
    <w:rsid w:val="00F04960"/>
    <w:rsid w:val="00F0659E"/>
    <w:rsid w:val="00F06923"/>
    <w:rsid w:val="00F071CF"/>
    <w:rsid w:val="00F075E5"/>
    <w:rsid w:val="00F07874"/>
    <w:rsid w:val="00F078A6"/>
    <w:rsid w:val="00F13051"/>
    <w:rsid w:val="00F151AE"/>
    <w:rsid w:val="00F17536"/>
    <w:rsid w:val="00F17A7F"/>
    <w:rsid w:val="00F21520"/>
    <w:rsid w:val="00F231C0"/>
    <w:rsid w:val="00F233A1"/>
    <w:rsid w:val="00F23828"/>
    <w:rsid w:val="00F24ADF"/>
    <w:rsid w:val="00F25F2B"/>
    <w:rsid w:val="00F261F1"/>
    <w:rsid w:val="00F26DB7"/>
    <w:rsid w:val="00F27CE4"/>
    <w:rsid w:val="00F31A6A"/>
    <w:rsid w:val="00F3240C"/>
    <w:rsid w:val="00F32CD8"/>
    <w:rsid w:val="00F33517"/>
    <w:rsid w:val="00F33AC1"/>
    <w:rsid w:val="00F343FD"/>
    <w:rsid w:val="00F3508A"/>
    <w:rsid w:val="00F35AD1"/>
    <w:rsid w:val="00F36262"/>
    <w:rsid w:val="00F37AFB"/>
    <w:rsid w:val="00F42602"/>
    <w:rsid w:val="00F427D2"/>
    <w:rsid w:val="00F4576D"/>
    <w:rsid w:val="00F466D4"/>
    <w:rsid w:val="00F46E45"/>
    <w:rsid w:val="00F50E44"/>
    <w:rsid w:val="00F50F16"/>
    <w:rsid w:val="00F516AD"/>
    <w:rsid w:val="00F51C35"/>
    <w:rsid w:val="00F531B7"/>
    <w:rsid w:val="00F53EB3"/>
    <w:rsid w:val="00F54E80"/>
    <w:rsid w:val="00F5535A"/>
    <w:rsid w:val="00F555C3"/>
    <w:rsid w:val="00F56582"/>
    <w:rsid w:val="00F56682"/>
    <w:rsid w:val="00F61BF0"/>
    <w:rsid w:val="00F63F09"/>
    <w:rsid w:val="00F64437"/>
    <w:rsid w:val="00F65898"/>
    <w:rsid w:val="00F674A6"/>
    <w:rsid w:val="00F679FB"/>
    <w:rsid w:val="00F700AF"/>
    <w:rsid w:val="00F717A2"/>
    <w:rsid w:val="00F71A9F"/>
    <w:rsid w:val="00F7290B"/>
    <w:rsid w:val="00F74537"/>
    <w:rsid w:val="00F761EF"/>
    <w:rsid w:val="00F77070"/>
    <w:rsid w:val="00F80828"/>
    <w:rsid w:val="00F80F34"/>
    <w:rsid w:val="00F8124F"/>
    <w:rsid w:val="00F82757"/>
    <w:rsid w:val="00F83431"/>
    <w:rsid w:val="00F8484C"/>
    <w:rsid w:val="00F85196"/>
    <w:rsid w:val="00F85370"/>
    <w:rsid w:val="00F862DA"/>
    <w:rsid w:val="00F867D1"/>
    <w:rsid w:val="00F91546"/>
    <w:rsid w:val="00F91AD6"/>
    <w:rsid w:val="00F92C8E"/>
    <w:rsid w:val="00F9486B"/>
    <w:rsid w:val="00FA1457"/>
    <w:rsid w:val="00FA24FD"/>
    <w:rsid w:val="00FA3A74"/>
    <w:rsid w:val="00FA3E2F"/>
    <w:rsid w:val="00FA4297"/>
    <w:rsid w:val="00FA53AA"/>
    <w:rsid w:val="00FA56F3"/>
    <w:rsid w:val="00FB0D78"/>
    <w:rsid w:val="00FB1C8B"/>
    <w:rsid w:val="00FB1FAD"/>
    <w:rsid w:val="00FB2033"/>
    <w:rsid w:val="00FB3B21"/>
    <w:rsid w:val="00FB3EB6"/>
    <w:rsid w:val="00FB72F1"/>
    <w:rsid w:val="00FC127C"/>
    <w:rsid w:val="00FC1CC3"/>
    <w:rsid w:val="00FC24C4"/>
    <w:rsid w:val="00FC3A2C"/>
    <w:rsid w:val="00FC4B7D"/>
    <w:rsid w:val="00FC5388"/>
    <w:rsid w:val="00FC5A68"/>
    <w:rsid w:val="00FC6685"/>
    <w:rsid w:val="00FD112D"/>
    <w:rsid w:val="00FD1FC6"/>
    <w:rsid w:val="00FD2052"/>
    <w:rsid w:val="00FD32A6"/>
    <w:rsid w:val="00FD7350"/>
    <w:rsid w:val="00FE05D6"/>
    <w:rsid w:val="00FE081D"/>
    <w:rsid w:val="00FE0F47"/>
    <w:rsid w:val="00FE193D"/>
    <w:rsid w:val="00FE1B86"/>
    <w:rsid w:val="00FE229D"/>
    <w:rsid w:val="00FE33B3"/>
    <w:rsid w:val="00FE5356"/>
    <w:rsid w:val="00FF07CE"/>
    <w:rsid w:val="00FF137B"/>
    <w:rsid w:val="00FF1CEC"/>
    <w:rsid w:val="00FF2928"/>
    <w:rsid w:val="00FF3155"/>
    <w:rsid w:val="00FF3BF0"/>
    <w:rsid w:val="00FF447E"/>
    <w:rsid w:val="00FF4A02"/>
    <w:rsid w:val="00FF601C"/>
    <w:rsid w:val="00FF6AA1"/>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4F2"/>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4F2"/>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7254962">
      <w:bodyDiv w:val="1"/>
      <w:marLeft w:val="0"/>
      <w:marRight w:val="0"/>
      <w:marTop w:val="0"/>
      <w:marBottom w:val="0"/>
      <w:divBdr>
        <w:top w:val="none" w:sz="0" w:space="0" w:color="auto"/>
        <w:left w:val="none" w:sz="0" w:space="0" w:color="auto"/>
        <w:bottom w:val="none" w:sz="0" w:space="0" w:color="auto"/>
        <w:right w:val="none" w:sz="0" w:space="0" w:color="auto"/>
      </w:divBdr>
    </w:div>
    <w:div w:id="209733765">
      <w:bodyDiv w:val="1"/>
      <w:marLeft w:val="0"/>
      <w:marRight w:val="0"/>
      <w:marTop w:val="0"/>
      <w:marBottom w:val="0"/>
      <w:divBdr>
        <w:top w:val="none" w:sz="0" w:space="0" w:color="auto"/>
        <w:left w:val="none" w:sz="0" w:space="0" w:color="auto"/>
        <w:bottom w:val="none" w:sz="0" w:space="0" w:color="auto"/>
        <w:right w:val="none" w:sz="0" w:space="0" w:color="auto"/>
      </w:divBdr>
    </w:div>
    <w:div w:id="227502250">
      <w:bodyDiv w:val="1"/>
      <w:marLeft w:val="0"/>
      <w:marRight w:val="0"/>
      <w:marTop w:val="0"/>
      <w:marBottom w:val="0"/>
      <w:divBdr>
        <w:top w:val="none" w:sz="0" w:space="0" w:color="auto"/>
        <w:left w:val="none" w:sz="0" w:space="0" w:color="auto"/>
        <w:bottom w:val="none" w:sz="0" w:space="0" w:color="auto"/>
        <w:right w:val="none" w:sz="0" w:space="0" w:color="auto"/>
      </w:divBdr>
    </w:div>
    <w:div w:id="240259733">
      <w:bodyDiv w:val="1"/>
      <w:marLeft w:val="0"/>
      <w:marRight w:val="0"/>
      <w:marTop w:val="0"/>
      <w:marBottom w:val="0"/>
      <w:divBdr>
        <w:top w:val="none" w:sz="0" w:space="0" w:color="auto"/>
        <w:left w:val="none" w:sz="0" w:space="0" w:color="auto"/>
        <w:bottom w:val="none" w:sz="0" w:space="0" w:color="auto"/>
        <w:right w:val="none" w:sz="0" w:space="0" w:color="auto"/>
      </w:divBdr>
    </w:div>
    <w:div w:id="331640073">
      <w:bodyDiv w:val="1"/>
      <w:marLeft w:val="0"/>
      <w:marRight w:val="0"/>
      <w:marTop w:val="0"/>
      <w:marBottom w:val="0"/>
      <w:divBdr>
        <w:top w:val="none" w:sz="0" w:space="0" w:color="auto"/>
        <w:left w:val="none" w:sz="0" w:space="0" w:color="auto"/>
        <w:bottom w:val="none" w:sz="0" w:space="0" w:color="auto"/>
        <w:right w:val="none" w:sz="0" w:space="0" w:color="auto"/>
      </w:divBdr>
    </w:div>
    <w:div w:id="352387598">
      <w:bodyDiv w:val="1"/>
      <w:marLeft w:val="0"/>
      <w:marRight w:val="0"/>
      <w:marTop w:val="0"/>
      <w:marBottom w:val="0"/>
      <w:divBdr>
        <w:top w:val="none" w:sz="0" w:space="0" w:color="auto"/>
        <w:left w:val="none" w:sz="0" w:space="0" w:color="auto"/>
        <w:bottom w:val="none" w:sz="0" w:space="0" w:color="auto"/>
        <w:right w:val="none" w:sz="0" w:space="0" w:color="auto"/>
      </w:divBdr>
    </w:div>
    <w:div w:id="467089871">
      <w:bodyDiv w:val="1"/>
      <w:marLeft w:val="0"/>
      <w:marRight w:val="0"/>
      <w:marTop w:val="0"/>
      <w:marBottom w:val="0"/>
      <w:divBdr>
        <w:top w:val="none" w:sz="0" w:space="0" w:color="auto"/>
        <w:left w:val="none" w:sz="0" w:space="0" w:color="auto"/>
        <w:bottom w:val="none" w:sz="0" w:space="0" w:color="auto"/>
        <w:right w:val="none" w:sz="0" w:space="0" w:color="auto"/>
      </w:divBdr>
    </w:div>
    <w:div w:id="531505256">
      <w:bodyDiv w:val="1"/>
      <w:marLeft w:val="0"/>
      <w:marRight w:val="0"/>
      <w:marTop w:val="0"/>
      <w:marBottom w:val="0"/>
      <w:divBdr>
        <w:top w:val="none" w:sz="0" w:space="0" w:color="auto"/>
        <w:left w:val="none" w:sz="0" w:space="0" w:color="auto"/>
        <w:bottom w:val="none" w:sz="0" w:space="0" w:color="auto"/>
        <w:right w:val="none" w:sz="0" w:space="0" w:color="auto"/>
      </w:divBdr>
    </w:div>
    <w:div w:id="542597933">
      <w:bodyDiv w:val="1"/>
      <w:marLeft w:val="0"/>
      <w:marRight w:val="0"/>
      <w:marTop w:val="0"/>
      <w:marBottom w:val="0"/>
      <w:divBdr>
        <w:top w:val="none" w:sz="0" w:space="0" w:color="auto"/>
        <w:left w:val="none" w:sz="0" w:space="0" w:color="auto"/>
        <w:bottom w:val="none" w:sz="0" w:space="0" w:color="auto"/>
        <w:right w:val="none" w:sz="0" w:space="0" w:color="auto"/>
      </w:divBdr>
    </w:div>
    <w:div w:id="545143071">
      <w:bodyDiv w:val="1"/>
      <w:marLeft w:val="0"/>
      <w:marRight w:val="0"/>
      <w:marTop w:val="0"/>
      <w:marBottom w:val="0"/>
      <w:divBdr>
        <w:top w:val="none" w:sz="0" w:space="0" w:color="auto"/>
        <w:left w:val="none" w:sz="0" w:space="0" w:color="auto"/>
        <w:bottom w:val="none" w:sz="0" w:space="0" w:color="auto"/>
        <w:right w:val="none" w:sz="0" w:space="0" w:color="auto"/>
      </w:divBdr>
    </w:div>
    <w:div w:id="638804037">
      <w:bodyDiv w:val="1"/>
      <w:marLeft w:val="0"/>
      <w:marRight w:val="0"/>
      <w:marTop w:val="0"/>
      <w:marBottom w:val="0"/>
      <w:divBdr>
        <w:top w:val="none" w:sz="0" w:space="0" w:color="auto"/>
        <w:left w:val="none" w:sz="0" w:space="0" w:color="auto"/>
        <w:bottom w:val="none" w:sz="0" w:space="0" w:color="auto"/>
        <w:right w:val="none" w:sz="0" w:space="0" w:color="auto"/>
      </w:divBdr>
    </w:div>
    <w:div w:id="648094167">
      <w:bodyDiv w:val="1"/>
      <w:marLeft w:val="0"/>
      <w:marRight w:val="0"/>
      <w:marTop w:val="0"/>
      <w:marBottom w:val="0"/>
      <w:divBdr>
        <w:top w:val="none" w:sz="0" w:space="0" w:color="auto"/>
        <w:left w:val="none" w:sz="0" w:space="0" w:color="auto"/>
        <w:bottom w:val="none" w:sz="0" w:space="0" w:color="auto"/>
        <w:right w:val="none" w:sz="0" w:space="0" w:color="auto"/>
      </w:divBdr>
    </w:div>
    <w:div w:id="685405762">
      <w:bodyDiv w:val="1"/>
      <w:marLeft w:val="0"/>
      <w:marRight w:val="0"/>
      <w:marTop w:val="0"/>
      <w:marBottom w:val="0"/>
      <w:divBdr>
        <w:top w:val="none" w:sz="0" w:space="0" w:color="auto"/>
        <w:left w:val="none" w:sz="0" w:space="0" w:color="auto"/>
        <w:bottom w:val="none" w:sz="0" w:space="0" w:color="auto"/>
        <w:right w:val="none" w:sz="0" w:space="0" w:color="auto"/>
      </w:divBdr>
    </w:div>
    <w:div w:id="689910412">
      <w:bodyDiv w:val="1"/>
      <w:marLeft w:val="0"/>
      <w:marRight w:val="0"/>
      <w:marTop w:val="0"/>
      <w:marBottom w:val="0"/>
      <w:divBdr>
        <w:top w:val="none" w:sz="0" w:space="0" w:color="auto"/>
        <w:left w:val="none" w:sz="0" w:space="0" w:color="auto"/>
        <w:bottom w:val="none" w:sz="0" w:space="0" w:color="auto"/>
        <w:right w:val="none" w:sz="0" w:space="0" w:color="auto"/>
      </w:divBdr>
    </w:div>
    <w:div w:id="755900783">
      <w:bodyDiv w:val="1"/>
      <w:marLeft w:val="0"/>
      <w:marRight w:val="0"/>
      <w:marTop w:val="0"/>
      <w:marBottom w:val="0"/>
      <w:divBdr>
        <w:top w:val="none" w:sz="0" w:space="0" w:color="auto"/>
        <w:left w:val="none" w:sz="0" w:space="0" w:color="auto"/>
        <w:bottom w:val="none" w:sz="0" w:space="0" w:color="auto"/>
        <w:right w:val="none" w:sz="0" w:space="0" w:color="auto"/>
      </w:divBdr>
    </w:div>
    <w:div w:id="837767951">
      <w:bodyDiv w:val="1"/>
      <w:marLeft w:val="0"/>
      <w:marRight w:val="0"/>
      <w:marTop w:val="0"/>
      <w:marBottom w:val="0"/>
      <w:divBdr>
        <w:top w:val="none" w:sz="0" w:space="0" w:color="auto"/>
        <w:left w:val="none" w:sz="0" w:space="0" w:color="auto"/>
        <w:bottom w:val="none" w:sz="0" w:space="0" w:color="auto"/>
        <w:right w:val="none" w:sz="0" w:space="0" w:color="auto"/>
      </w:divBdr>
    </w:div>
    <w:div w:id="862324640">
      <w:bodyDiv w:val="1"/>
      <w:marLeft w:val="0"/>
      <w:marRight w:val="0"/>
      <w:marTop w:val="0"/>
      <w:marBottom w:val="0"/>
      <w:divBdr>
        <w:top w:val="none" w:sz="0" w:space="0" w:color="auto"/>
        <w:left w:val="none" w:sz="0" w:space="0" w:color="auto"/>
        <w:bottom w:val="none" w:sz="0" w:space="0" w:color="auto"/>
        <w:right w:val="none" w:sz="0" w:space="0" w:color="auto"/>
      </w:divBdr>
    </w:div>
    <w:div w:id="864290458">
      <w:bodyDiv w:val="1"/>
      <w:marLeft w:val="0"/>
      <w:marRight w:val="0"/>
      <w:marTop w:val="0"/>
      <w:marBottom w:val="0"/>
      <w:divBdr>
        <w:top w:val="none" w:sz="0" w:space="0" w:color="auto"/>
        <w:left w:val="none" w:sz="0" w:space="0" w:color="auto"/>
        <w:bottom w:val="none" w:sz="0" w:space="0" w:color="auto"/>
        <w:right w:val="none" w:sz="0" w:space="0" w:color="auto"/>
      </w:divBdr>
    </w:div>
    <w:div w:id="879173407">
      <w:bodyDiv w:val="1"/>
      <w:marLeft w:val="0"/>
      <w:marRight w:val="0"/>
      <w:marTop w:val="0"/>
      <w:marBottom w:val="0"/>
      <w:divBdr>
        <w:top w:val="none" w:sz="0" w:space="0" w:color="auto"/>
        <w:left w:val="none" w:sz="0" w:space="0" w:color="auto"/>
        <w:bottom w:val="none" w:sz="0" w:space="0" w:color="auto"/>
        <w:right w:val="none" w:sz="0" w:space="0" w:color="auto"/>
      </w:divBdr>
    </w:div>
    <w:div w:id="988706680">
      <w:bodyDiv w:val="1"/>
      <w:marLeft w:val="0"/>
      <w:marRight w:val="0"/>
      <w:marTop w:val="0"/>
      <w:marBottom w:val="0"/>
      <w:divBdr>
        <w:top w:val="none" w:sz="0" w:space="0" w:color="auto"/>
        <w:left w:val="none" w:sz="0" w:space="0" w:color="auto"/>
        <w:bottom w:val="none" w:sz="0" w:space="0" w:color="auto"/>
        <w:right w:val="none" w:sz="0" w:space="0" w:color="auto"/>
      </w:divBdr>
    </w:div>
    <w:div w:id="1038965831">
      <w:bodyDiv w:val="1"/>
      <w:marLeft w:val="0"/>
      <w:marRight w:val="0"/>
      <w:marTop w:val="0"/>
      <w:marBottom w:val="0"/>
      <w:divBdr>
        <w:top w:val="none" w:sz="0" w:space="0" w:color="auto"/>
        <w:left w:val="none" w:sz="0" w:space="0" w:color="auto"/>
        <w:bottom w:val="none" w:sz="0" w:space="0" w:color="auto"/>
        <w:right w:val="none" w:sz="0" w:space="0" w:color="auto"/>
      </w:divBdr>
    </w:div>
    <w:div w:id="1319656362">
      <w:bodyDiv w:val="1"/>
      <w:marLeft w:val="0"/>
      <w:marRight w:val="0"/>
      <w:marTop w:val="0"/>
      <w:marBottom w:val="0"/>
      <w:divBdr>
        <w:top w:val="none" w:sz="0" w:space="0" w:color="auto"/>
        <w:left w:val="none" w:sz="0" w:space="0" w:color="auto"/>
        <w:bottom w:val="none" w:sz="0" w:space="0" w:color="auto"/>
        <w:right w:val="none" w:sz="0" w:space="0" w:color="auto"/>
      </w:divBdr>
    </w:div>
    <w:div w:id="1329601313">
      <w:bodyDiv w:val="1"/>
      <w:marLeft w:val="0"/>
      <w:marRight w:val="0"/>
      <w:marTop w:val="0"/>
      <w:marBottom w:val="0"/>
      <w:divBdr>
        <w:top w:val="none" w:sz="0" w:space="0" w:color="auto"/>
        <w:left w:val="none" w:sz="0" w:space="0" w:color="auto"/>
        <w:bottom w:val="none" w:sz="0" w:space="0" w:color="auto"/>
        <w:right w:val="none" w:sz="0" w:space="0" w:color="auto"/>
      </w:divBdr>
    </w:div>
    <w:div w:id="1344359128">
      <w:bodyDiv w:val="1"/>
      <w:marLeft w:val="0"/>
      <w:marRight w:val="0"/>
      <w:marTop w:val="0"/>
      <w:marBottom w:val="0"/>
      <w:divBdr>
        <w:top w:val="none" w:sz="0" w:space="0" w:color="auto"/>
        <w:left w:val="none" w:sz="0" w:space="0" w:color="auto"/>
        <w:bottom w:val="none" w:sz="0" w:space="0" w:color="auto"/>
        <w:right w:val="none" w:sz="0" w:space="0" w:color="auto"/>
      </w:divBdr>
    </w:div>
    <w:div w:id="1486819196">
      <w:bodyDiv w:val="1"/>
      <w:marLeft w:val="0"/>
      <w:marRight w:val="0"/>
      <w:marTop w:val="0"/>
      <w:marBottom w:val="0"/>
      <w:divBdr>
        <w:top w:val="none" w:sz="0" w:space="0" w:color="auto"/>
        <w:left w:val="none" w:sz="0" w:space="0" w:color="auto"/>
        <w:bottom w:val="none" w:sz="0" w:space="0" w:color="auto"/>
        <w:right w:val="none" w:sz="0" w:space="0" w:color="auto"/>
      </w:divBdr>
    </w:div>
    <w:div w:id="1491096129">
      <w:bodyDiv w:val="1"/>
      <w:marLeft w:val="0"/>
      <w:marRight w:val="0"/>
      <w:marTop w:val="0"/>
      <w:marBottom w:val="0"/>
      <w:divBdr>
        <w:top w:val="none" w:sz="0" w:space="0" w:color="auto"/>
        <w:left w:val="none" w:sz="0" w:space="0" w:color="auto"/>
        <w:bottom w:val="none" w:sz="0" w:space="0" w:color="auto"/>
        <w:right w:val="none" w:sz="0" w:space="0" w:color="auto"/>
      </w:divBdr>
    </w:div>
    <w:div w:id="1565409240">
      <w:bodyDiv w:val="1"/>
      <w:marLeft w:val="0"/>
      <w:marRight w:val="0"/>
      <w:marTop w:val="0"/>
      <w:marBottom w:val="0"/>
      <w:divBdr>
        <w:top w:val="none" w:sz="0" w:space="0" w:color="auto"/>
        <w:left w:val="none" w:sz="0" w:space="0" w:color="auto"/>
        <w:bottom w:val="none" w:sz="0" w:space="0" w:color="auto"/>
        <w:right w:val="none" w:sz="0" w:space="0" w:color="auto"/>
      </w:divBdr>
    </w:div>
    <w:div w:id="1688826331">
      <w:bodyDiv w:val="1"/>
      <w:marLeft w:val="0"/>
      <w:marRight w:val="0"/>
      <w:marTop w:val="0"/>
      <w:marBottom w:val="0"/>
      <w:divBdr>
        <w:top w:val="none" w:sz="0" w:space="0" w:color="auto"/>
        <w:left w:val="none" w:sz="0" w:space="0" w:color="auto"/>
        <w:bottom w:val="none" w:sz="0" w:space="0" w:color="auto"/>
        <w:right w:val="none" w:sz="0" w:space="0" w:color="auto"/>
      </w:divBdr>
    </w:div>
    <w:div w:id="1782676596">
      <w:bodyDiv w:val="1"/>
      <w:marLeft w:val="0"/>
      <w:marRight w:val="0"/>
      <w:marTop w:val="0"/>
      <w:marBottom w:val="0"/>
      <w:divBdr>
        <w:top w:val="none" w:sz="0" w:space="0" w:color="auto"/>
        <w:left w:val="none" w:sz="0" w:space="0" w:color="auto"/>
        <w:bottom w:val="none" w:sz="0" w:space="0" w:color="auto"/>
        <w:right w:val="none" w:sz="0" w:space="0" w:color="auto"/>
      </w:divBdr>
    </w:div>
    <w:div w:id="2008744903">
      <w:bodyDiv w:val="1"/>
      <w:marLeft w:val="0"/>
      <w:marRight w:val="0"/>
      <w:marTop w:val="0"/>
      <w:marBottom w:val="0"/>
      <w:divBdr>
        <w:top w:val="none" w:sz="0" w:space="0" w:color="auto"/>
        <w:left w:val="none" w:sz="0" w:space="0" w:color="auto"/>
        <w:bottom w:val="none" w:sz="0" w:space="0" w:color="auto"/>
        <w:right w:val="none" w:sz="0" w:space="0" w:color="auto"/>
      </w:divBdr>
    </w:div>
    <w:div w:id="2042509410">
      <w:bodyDiv w:val="1"/>
      <w:marLeft w:val="0"/>
      <w:marRight w:val="0"/>
      <w:marTop w:val="0"/>
      <w:marBottom w:val="0"/>
      <w:divBdr>
        <w:top w:val="none" w:sz="0" w:space="0" w:color="auto"/>
        <w:left w:val="none" w:sz="0" w:space="0" w:color="auto"/>
        <w:bottom w:val="none" w:sz="0" w:space="0" w:color="auto"/>
        <w:right w:val="none" w:sz="0" w:space="0" w:color="auto"/>
      </w:divBdr>
      <w:divsChild>
        <w:div w:id="1125389533">
          <w:marLeft w:val="150"/>
          <w:marRight w:val="150"/>
          <w:marTop w:val="150"/>
          <w:marBottom w:val="150"/>
          <w:divBdr>
            <w:top w:val="none" w:sz="0" w:space="0" w:color="auto"/>
            <w:left w:val="none" w:sz="0" w:space="0" w:color="auto"/>
            <w:bottom w:val="none" w:sz="0" w:space="0" w:color="auto"/>
            <w:right w:val="none" w:sz="0" w:space="0" w:color="auto"/>
          </w:divBdr>
          <w:divsChild>
            <w:div w:id="1499689733">
              <w:marLeft w:val="0"/>
              <w:marRight w:val="0"/>
              <w:marTop w:val="0"/>
              <w:marBottom w:val="0"/>
              <w:divBdr>
                <w:top w:val="none" w:sz="0" w:space="0" w:color="auto"/>
                <w:left w:val="none" w:sz="0" w:space="0" w:color="auto"/>
                <w:bottom w:val="none" w:sz="0" w:space="0" w:color="auto"/>
                <w:right w:val="none" w:sz="0" w:space="0" w:color="auto"/>
              </w:divBdr>
              <w:divsChild>
                <w:div w:id="321156323">
                  <w:marLeft w:val="0"/>
                  <w:marRight w:val="0"/>
                  <w:marTop w:val="0"/>
                  <w:marBottom w:val="0"/>
                  <w:divBdr>
                    <w:top w:val="none" w:sz="0" w:space="0" w:color="auto"/>
                    <w:left w:val="none" w:sz="0" w:space="0" w:color="auto"/>
                    <w:bottom w:val="none" w:sz="0" w:space="0" w:color="auto"/>
                    <w:right w:val="none" w:sz="0" w:space="0" w:color="auto"/>
                  </w:divBdr>
                  <w:divsChild>
                    <w:div w:id="938371675">
                      <w:marLeft w:val="0"/>
                      <w:marRight w:val="0"/>
                      <w:marTop w:val="0"/>
                      <w:marBottom w:val="0"/>
                      <w:divBdr>
                        <w:top w:val="none" w:sz="0" w:space="0" w:color="auto"/>
                        <w:left w:val="none" w:sz="0" w:space="0" w:color="auto"/>
                        <w:bottom w:val="none" w:sz="0" w:space="0" w:color="auto"/>
                        <w:right w:val="none" w:sz="0" w:space="0" w:color="auto"/>
                      </w:divBdr>
                      <w:divsChild>
                        <w:div w:id="1931962857">
                          <w:marLeft w:val="0"/>
                          <w:marRight w:val="0"/>
                          <w:marTop w:val="0"/>
                          <w:marBottom w:val="0"/>
                          <w:divBdr>
                            <w:top w:val="none" w:sz="0" w:space="0" w:color="auto"/>
                            <w:left w:val="none" w:sz="0" w:space="0" w:color="auto"/>
                            <w:bottom w:val="none" w:sz="0" w:space="0" w:color="auto"/>
                            <w:right w:val="none" w:sz="0" w:space="0" w:color="auto"/>
                          </w:divBdr>
                        </w:div>
                      </w:divsChild>
                    </w:div>
                    <w:div w:id="1698584293">
                      <w:marLeft w:val="0"/>
                      <w:marRight w:val="0"/>
                      <w:marTop w:val="0"/>
                      <w:marBottom w:val="0"/>
                      <w:divBdr>
                        <w:top w:val="none" w:sz="0" w:space="0" w:color="auto"/>
                        <w:left w:val="none" w:sz="0" w:space="0" w:color="auto"/>
                        <w:bottom w:val="none" w:sz="0" w:space="0" w:color="auto"/>
                        <w:right w:val="none" w:sz="0" w:space="0" w:color="auto"/>
                      </w:divBdr>
                      <w:divsChild>
                        <w:div w:id="1273825313">
                          <w:marLeft w:val="0"/>
                          <w:marRight w:val="0"/>
                          <w:marTop w:val="0"/>
                          <w:marBottom w:val="0"/>
                          <w:divBdr>
                            <w:top w:val="none" w:sz="0" w:space="0" w:color="auto"/>
                            <w:left w:val="none" w:sz="0" w:space="0" w:color="auto"/>
                            <w:bottom w:val="none" w:sz="0" w:space="0" w:color="auto"/>
                            <w:right w:val="none" w:sz="0" w:space="0" w:color="auto"/>
                          </w:divBdr>
                        </w:div>
                      </w:divsChild>
                    </w:div>
                    <w:div w:id="782269592">
                      <w:marLeft w:val="0"/>
                      <w:marRight w:val="0"/>
                      <w:marTop w:val="0"/>
                      <w:marBottom w:val="0"/>
                      <w:divBdr>
                        <w:top w:val="none" w:sz="0" w:space="0" w:color="auto"/>
                        <w:left w:val="none" w:sz="0" w:space="0" w:color="auto"/>
                        <w:bottom w:val="none" w:sz="0" w:space="0" w:color="auto"/>
                        <w:right w:val="none" w:sz="0" w:space="0" w:color="auto"/>
                      </w:divBdr>
                      <w:divsChild>
                        <w:div w:id="962272286">
                          <w:marLeft w:val="0"/>
                          <w:marRight w:val="0"/>
                          <w:marTop w:val="0"/>
                          <w:marBottom w:val="0"/>
                          <w:divBdr>
                            <w:top w:val="none" w:sz="0" w:space="0" w:color="auto"/>
                            <w:left w:val="none" w:sz="0" w:space="0" w:color="auto"/>
                            <w:bottom w:val="none" w:sz="0" w:space="0" w:color="auto"/>
                            <w:right w:val="none" w:sz="0" w:space="0" w:color="auto"/>
                          </w:divBdr>
                        </w:div>
                      </w:divsChild>
                    </w:div>
                    <w:div w:id="1508130458">
                      <w:marLeft w:val="0"/>
                      <w:marRight w:val="0"/>
                      <w:marTop w:val="0"/>
                      <w:marBottom w:val="0"/>
                      <w:divBdr>
                        <w:top w:val="none" w:sz="0" w:space="0" w:color="auto"/>
                        <w:left w:val="none" w:sz="0" w:space="0" w:color="auto"/>
                        <w:bottom w:val="none" w:sz="0" w:space="0" w:color="auto"/>
                        <w:right w:val="none" w:sz="0" w:space="0" w:color="auto"/>
                      </w:divBdr>
                      <w:divsChild>
                        <w:div w:id="61300098">
                          <w:marLeft w:val="0"/>
                          <w:marRight w:val="0"/>
                          <w:marTop w:val="0"/>
                          <w:marBottom w:val="0"/>
                          <w:divBdr>
                            <w:top w:val="none" w:sz="0" w:space="0" w:color="auto"/>
                            <w:left w:val="none" w:sz="0" w:space="0" w:color="auto"/>
                            <w:bottom w:val="none" w:sz="0" w:space="0" w:color="auto"/>
                            <w:right w:val="none" w:sz="0" w:space="0" w:color="auto"/>
                          </w:divBdr>
                        </w:div>
                      </w:divsChild>
                    </w:div>
                    <w:div w:id="209075802">
                      <w:marLeft w:val="0"/>
                      <w:marRight w:val="0"/>
                      <w:marTop w:val="0"/>
                      <w:marBottom w:val="0"/>
                      <w:divBdr>
                        <w:top w:val="none" w:sz="0" w:space="0" w:color="auto"/>
                        <w:left w:val="none" w:sz="0" w:space="0" w:color="auto"/>
                        <w:bottom w:val="none" w:sz="0" w:space="0" w:color="auto"/>
                        <w:right w:val="none" w:sz="0" w:space="0" w:color="auto"/>
                      </w:divBdr>
                      <w:divsChild>
                        <w:div w:id="1068114980">
                          <w:marLeft w:val="0"/>
                          <w:marRight w:val="0"/>
                          <w:marTop w:val="0"/>
                          <w:marBottom w:val="0"/>
                          <w:divBdr>
                            <w:top w:val="none" w:sz="0" w:space="0" w:color="auto"/>
                            <w:left w:val="none" w:sz="0" w:space="0" w:color="auto"/>
                            <w:bottom w:val="none" w:sz="0" w:space="0" w:color="auto"/>
                            <w:right w:val="none" w:sz="0" w:space="0" w:color="auto"/>
                          </w:divBdr>
                        </w:div>
                      </w:divsChild>
                    </w:div>
                    <w:div w:id="948856152">
                      <w:marLeft w:val="0"/>
                      <w:marRight w:val="0"/>
                      <w:marTop w:val="0"/>
                      <w:marBottom w:val="0"/>
                      <w:divBdr>
                        <w:top w:val="none" w:sz="0" w:space="0" w:color="auto"/>
                        <w:left w:val="none" w:sz="0" w:space="0" w:color="auto"/>
                        <w:bottom w:val="none" w:sz="0" w:space="0" w:color="auto"/>
                        <w:right w:val="none" w:sz="0" w:space="0" w:color="auto"/>
                      </w:divBdr>
                      <w:divsChild>
                        <w:div w:id="671105477">
                          <w:marLeft w:val="0"/>
                          <w:marRight w:val="0"/>
                          <w:marTop w:val="0"/>
                          <w:marBottom w:val="0"/>
                          <w:divBdr>
                            <w:top w:val="none" w:sz="0" w:space="0" w:color="auto"/>
                            <w:left w:val="none" w:sz="0" w:space="0" w:color="auto"/>
                            <w:bottom w:val="none" w:sz="0" w:space="0" w:color="auto"/>
                            <w:right w:val="none" w:sz="0" w:space="0" w:color="auto"/>
                          </w:divBdr>
                        </w:div>
                      </w:divsChild>
                    </w:div>
                    <w:div w:id="24260346">
                      <w:marLeft w:val="0"/>
                      <w:marRight w:val="0"/>
                      <w:marTop w:val="0"/>
                      <w:marBottom w:val="0"/>
                      <w:divBdr>
                        <w:top w:val="none" w:sz="0" w:space="0" w:color="auto"/>
                        <w:left w:val="none" w:sz="0" w:space="0" w:color="auto"/>
                        <w:bottom w:val="none" w:sz="0" w:space="0" w:color="auto"/>
                        <w:right w:val="none" w:sz="0" w:space="0" w:color="auto"/>
                      </w:divBdr>
                      <w:divsChild>
                        <w:div w:id="387799940">
                          <w:marLeft w:val="0"/>
                          <w:marRight w:val="0"/>
                          <w:marTop w:val="0"/>
                          <w:marBottom w:val="0"/>
                          <w:divBdr>
                            <w:top w:val="none" w:sz="0" w:space="0" w:color="auto"/>
                            <w:left w:val="none" w:sz="0" w:space="0" w:color="auto"/>
                            <w:bottom w:val="none" w:sz="0" w:space="0" w:color="auto"/>
                            <w:right w:val="none" w:sz="0" w:space="0" w:color="auto"/>
                          </w:divBdr>
                        </w:div>
                      </w:divsChild>
                    </w:div>
                    <w:div w:id="300310525">
                      <w:marLeft w:val="0"/>
                      <w:marRight w:val="0"/>
                      <w:marTop w:val="0"/>
                      <w:marBottom w:val="0"/>
                      <w:divBdr>
                        <w:top w:val="none" w:sz="0" w:space="0" w:color="auto"/>
                        <w:left w:val="none" w:sz="0" w:space="0" w:color="auto"/>
                        <w:bottom w:val="none" w:sz="0" w:space="0" w:color="auto"/>
                        <w:right w:val="none" w:sz="0" w:space="0" w:color="auto"/>
                      </w:divBdr>
                      <w:divsChild>
                        <w:div w:id="1122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C1DD-2B0E-402F-8FDD-9A4AF9AE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9772</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§10111</vt:lpstr>
    </vt:vector>
  </TitlesOfParts>
  <Company>DIR</Company>
  <LinksUpToDate>false</LinksUpToDate>
  <CharactersWithSpaces>65349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§10111</dc:title>
  <dc:creator>DIR</dc:creator>
  <cp:lastModifiedBy>Medrano, Perla</cp:lastModifiedBy>
  <cp:revision>2</cp:revision>
  <cp:lastPrinted>2013-12-26T17:53:00Z</cp:lastPrinted>
  <dcterms:created xsi:type="dcterms:W3CDTF">2013-12-27T01:41:00Z</dcterms:created>
  <dcterms:modified xsi:type="dcterms:W3CDTF">2013-12-27T01:41:00Z</dcterms:modified>
</cp:coreProperties>
</file>