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F64" w:rsidRPr="005E20CB" w:rsidRDefault="00653E5E" w:rsidP="002A0F64">
      <w:pPr>
        <w:pStyle w:val="MessageHeader"/>
        <w:spacing w:after="0" w:line="240" w:lineRule="auto"/>
        <w:ind w:left="0" w:firstLine="0"/>
        <w:jc w:val="center"/>
        <w:rPr>
          <w:rFonts w:cs="Arial"/>
          <w:sz w:val="22"/>
          <w:szCs w:val="22"/>
        </w:rPr>
      </w:pPr>
      <w:bookmarkStart w:id="0" w:name="_GoBack"/>
      <w:bookmarkEnd w:id="0"/>
      <w:r w:rsidRPr="005E20CB">
        <w:rPr>
          <w:rFonts w:cs="Arial"/>
          <w:noProof/>
          <w:sz w:val="22"/>
          <w:szCs w:val="22"/>
        </w:rPr>
        <w:drawing>
          <wp:inline distT="0" distB="0" distL="0" distR="0" wp14:anchorId="7619C0DA" wp14:editId="55086195">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2A0F64" w:rsidRPr="00A643A1" w:rsidRDefault="002A0F64" w:rsidP="002A0F64">
      <w:pPr>
        <w:pStyle w:val="MessageHeader"/>
        <w:spacing w:after="0" w:line="240" w:lineRule="auto"/>
        <w:jc w:val="center"/>
        <w:rPr>
          <w:rFonts w:cs="Arial"/>
          <w:spacing w:val="0"/>
          <w:position w:val="-12"/>
          <w:szCs w:val="24"/>
        </w:rPr>
      </w:pPr>
      <w:r w:rsidRPr="00A643A1">
        <w:rPr>
          <w:rFonts w:cs="Arial"/>
          <w:spacing w:val="12"/>
          <w:position w:val="-12"/>
          <w:szCs w:val="24"/>
        </w:rPr>
        <w:t>California Workers’ Compensation Institute</w:t>
      </w:r>
    </w:p>
    <w:p w:rsidR="002A0F64" w:rsidRPr="00A643A1" w:rsidRDefault="002A0F64" w:rsidP="002A0F64">
      <w:pPr>
        <w:jc w:val="center"/>
        <w:rPr>
          <w:rFonts w:ascii="Arial" w:hAnsi="Arial" w:cs="Arial"/>
          <w:sz w:val="18"/>
          <w:szCs w:val="18"/>
        </w:rPr>
      </w:pPr>
      <w:r w:rsidRPr="00A643A1">
        <w:rPr>
          <w:rFonts w:ascii="Arial" w:hAnsi="Arial" w:cs="Arial"/>
          <w:sz w:val="18"/>
          <w:szCs w:val="18"/>
        </w:rPr>
        <w:t xml:space="preserve">1111 Broadway Suite 2350, Oakland, CA 94607 • Tel: (510) 251-9470 • Fax: (510) </w:t>
      </w:r>
      <w:r w:rsidR="00A7644B" w:rsidRPr="00A643A1">
        <w:rPr>
          <w:rFonts w:ascii="Arial" w:hAnsi="Arial" w:cs="Arial"/>
          <w:sz w:val="18"/>
          <w:szCs w:val="18"/>
        </w:rPr>
        <w:t>763-1592</w:t>
      </w:r>
    </w:p>
    <w:p w:rsidR="002A0F64" w:rsidRPr="00A643A1" w:rsidRDefault="002A0F64" w:rsidP="002A0F64">
      <w:pPr>
        <w:pStyle w:val="MessageHeader"/>
        <w:spacing w:after="0" w:line="240" w:lineRule="auto"/>
        <w:ind w:left="0" w:firstLine="0"/>
        <w:jc w:val="center"/>
        <w:rPr>
          <w:rFonts w:cs="Arial"/>
          <w:spacing w:val="0"/>
          <w:sz w:val="18"/>
          <w:szCs w:val="18"/>
        </w:rPr>
      </w:pPr>
    </w:p>
    <w:p w:rsidR="002A0F64" w:rsidRPr="005E20CB" w:rsidRDefault="002A0F64" w:rsidP="002A0F64">
      <w:pPr>
        <w:pStyle w:val="MessageHeader"/>
        <w:spacing w:after="0" w:line="240" w:lineRule="auto"/>
        <w:ind w:left="0" w:firstLine="0"/>
        <w:jc w:val="center"/>
        <w:rPr>
          <w:rFonts w:cs="Arial"/>
          <w:spacing w:val="0"/>
          <w:sz w:val="22"/>
          <w:szCs w:val="22"/>
        </w:rPr>
      </w:pPr>
    </w:p>
    <w:p w:rsidR="002A0F64" w:rsidRPr="005E20CB" w:rsidRDefault="00F431A2" w:rsidP="002A0F64">
      <w:pPr>
        <w:pStyle w:val="MessageHeader"/>
        <w:spacing w:after="0" w:line="240" w:lineRule="auto"/>
        <w:rPr>
          <w:rStyle w:val="MessageHeaderLabel"/>
          <w:rFonts w:ascii="Arial" w:hAnsi="Arial" w:cs="Arial"/>
          <w:spacing w:val="0"/>
          <w:sz w:val="22"/>
          <w:szCs w:val="22"/>
        </w:rPr>
      </w:pPr>
      <w:r w:rsidRPr="005E20CB">
        <w:rPr>
          <w:rStyle w:val="MessageHeaderLabel"/>
          <w:rFonts w:ascii="Arial" w:hAnsi="Arial" w:cs="Arial"/>
          <w:spacing w:val="0"/>
          <w:sz w:val="22"/>
          <w:szCs w:val="22"/>
        </w:rPr>
        <w:t>December</w:t>
      </w:r>
      <w:r w:rsidR="00C421D1" w:rsidRPr="005E20CB">
        <w:rPr>
          <w:rStyle w:val="MessageHeaderLabel"/>
          <w:rFonts w:ascii="Arial" w:hAnsi="Arial" w:cs="Arial"/>
          <w:spacing w:val="0"/>
          <w:sz w:val="22"/>
          <w:szCs w:val="22"/>
        </w:rPr>
        <w:t xml:space="preserve"> </w:t>
      </w:r>
      <w:r w:rsidR="00A255D6" w:rsidRPr="005E20CB">
        <w:rPr>
          <w:rStyle w:val="MessageHeaderLabel"/>
          <w:rFonts w:ascii="Arial" w:hAnsi="Arial" w:cs="Arial"/>
          <w:spacing w:val="0"/>
          <w:sz w:val="22"/>
          <w:szCs w:val="22"/>
        </w:rPr>
        <w:t>9</w:t>
      </w:r>
      <w:r w:rsidR="002A0F64" w:rsidRPr="005E20CB">
        <w:rPr>
          <w:rStyle w:val="MessageHeaderLabel"/>
          <w:rFonts w:ascii="Arial" w:hAnsi="Arial" w:cs="Arial"/>
          <w:spacing w:val="0"/>
          <w:sz w:val="22"/>
          <w:szCs w:val="22"/>
        </w:rPr>
        <w:t>, 201</w:t>
      </w:r>
      <w:r w:rsidR="008F1B72" w:rsidRPr="005E20CB">
        <w:rPr>
          <w:rStyle w:val="MessageHeaderLabel"/>
          <w:rFonts w:ascii="Arial" w:hAnsi="Arial" w:cs="Arial"/>
          <w:spacing w:val="0"/>
          <w:sz w:val="22"/>
          <w:szCs w:val="22"/>
        </w:rPr>
        <w:t>4</w:t>
      </w:r>
    </w:p>
    <w:p w:rsidR="002A0F64" w:rsidRPr="005E20CB" w:rsidRDefault="002A0F64" w:rsidP="002A0F64">
      <w:pPr>
        <w:pStyle w:val="MessageHeader"/>
        <w:spacing w:after="0" w:line="240" w:lineRule="auto"/>
        <w:ind w:left="5040" w:firstLine="0"/>
        <w:rPr>
          <w:rStyle w:val="Hyperlink"/>
          <w:rFonts w:cs="Arial"/>
          <w:sz w:val="22"/>
          <w:szCs w:val="22"/>
          <w:lang w:val="en"/>
        </w:rPr>
      </w:pPr>
      <w:r w:rsidRPr="005E20CB">
        <w:rPr>
          <w:rStyle w:val="MessageHeaderLabel"/>
          <w:rFonts w:ascii="Arial" w:hAnsi="Arial" w:cs="Arial"/>
          <w:spacing w:val="0"/>
          <w:sz w:val="22"/>
          <w:szCs w:val="22"/>
          <w:u w:val="single"/>
        </w:rPr>
        <w:t xml:space="preserve">VIA E-MAIL to </w:t>
      </w:r>
      <w:hyperlink r:id="rId10" w:history="1">
        <w:r w:rsidRPr="005E20CB">
          <w:rPr>
            <w:rStyle w:val="Hyperlink"/>
            <w:rFonts w:cs="Arial"/>
            <w:sz w:val="22"/>
            <w:szCs w:val="22"/>
            <w:lang w:val="en"/>
          </w:rPr>
          <w:t>dwcrules@dir.ca.gov</w:t>
        </w:r>
      </w:hyperlink>
    </w:p>
    <w:p w:rsidR="0018322E" w:rsidRPr="005E20CB" w:rsidRDefault="0018322E" w:rsidP="002A0F64">
      <w:pPr>
        <w:pStyle w:val="MessageHeader"/>
        <w:spacing w:after="0" w:line="240" w:lineRule="auto"/>
        <w:ind w:left="5040" w:firstLine="0"/>
        <w:rPr>
          <w:rStyle w:val="MessageHeaderLabel"/>
          <w:rFonts w:ascii="Arial" w:hAnsi="Arial" w:cs="Arial"/>
          <w:spacing w:val="0"/>
          <w:sz w:val="22"/>
          <w:szCs w:val="22"/>
        </w:rPr>
      </w:pPr>
    </w:p>
    <w:p w:rsidR="00EC45EB" w:rsidRPr="005E20CB" w:rsidRDefault="00EC45EB" w:rsidP="002A0F64">
      <w:pPr>
        <w:pStyle w:val="MessageHeader"/>
        <w:spacing w:after="0" w:line="240" w:lineRule="auto"/>
        <w:rPr>
          <w:rStyle w:val="MessageHeaderLabel"/>
          <w:rFonts w:ascii="Arial" w:hAnsi="Arial" w:cs="Arial"/>
          <w:spacing w:val="0"/>
          <w:sz w:val="22"/>
          <w:szCs w:val="22"/>
        </w:rPr>
      </w:pPr>
    </w:p>
    <w:p w:rsidR="002A0F64" w:rsidRPr="005E20CB" w:rsidRDefault="002A0F64" w:rsidP="002A0F64">
      <w:pPr>
        <w:pStyle w:val="MessageHeader"/>
        <w:spacing w:after="0" w:line="240" w:lineRule="auto"/>
        <w:rPr>
          <w:rStyle w:val="MessageHeaderLabel"/>
          <w:rFonts w:ascii="Arial" w:hAnsi="Arial" w:cs="Arial"/>
          <w:spacing w:val="0"/>
          <w:sz w:val="22"/>
          <w:szCs w:val="22"/>
        </w:rPr>
      </w:pPr>
      <w:r w:rsidRPr="005E20CB">
        <w:rPr>
          <w:rStyle w:val="MessageHeaderLabel"/>
          <w:rFonts w:ascii="Arial" w:hAnsi="Arial" w:cs="Arial"/>
          <w:spacing w:val="0"/>
          <w:sz w:val="22"/>
          <w:szCs w:val="22"/>
        </w:rPr>
        <w:t>Maureen Gray, Regulations Coordinator</w:t>
      </w:r>
    </w:p>
    <w:p w:rsidR="002A0F64" w:rsidRPr="005E20CB" w:rsidRDefault="002A0F64" w:rsidP="002A0F64">
      <w:pPr>
        <w:pStyle w:val="MessageHeader"/>
        <w:spacing w:after="0" w:line="240" w:lineRule="auto"/>
        <w:rPr>
          <w:rStyle w:val="MessageHeaderLabel"/>
          <w:rFonts w:ascii="Arial" w:hAnsi="Arial" w:cs="Arial"/>
          <w:spacing w:val="0"/>
          <w:sz w:val="22"/>
          <w:szCs w:val="22"/>
        </w:rPr>
      </w:pPr>
      <w:r w:rsidRPr="005E20CB">
        <w:rPr>
          <w:rStyle w:val="MessageHeaderLabel"/>
          <w:rFonts w:ascii="Arial" w:hAnsi="Arial" w:cs="Arial"/>
          <w:spacing w:val="0"/>
          <w:sz w:val="22"/>
          <w:szCs w:val="22"/>
        </w:rPr>
        <w:t>Department of Industrial Relations</w:t>
      </w:r>
    </w:p>
    <w:p w:rsidR="002A0F64" w:rsidRPr="005E20CB" w:rsidRDefault="002A0F64" w:rsidP="002A0F64">
      <w:pPr>
        <w:pStyle w:val="MessageHeader"/>
        <w:spacing w:after="0" w:line="240" w:lineRule="auto"/>
        <w:rPr>
          <w:rStyle w:val="MessageHeaderLabel"/>
          <w:rFonts w:ascii="Arial" w:hAnsi="Arial" w:cs="Arial"/>
          <w:spacing w:val="0"/>
          <w:sz w:val="22"/>
          <w:szCs w:val="22"/>
        </w:rPr>
      </w:pPr>
      <w:r w:rsidRPr="005E20CB">
        <w:rPr>
          <w:rStyle w:val="MessageHeaderLabel"/>
          <w:rFonts w:ascii="Arial" w:hAnsi="Arial" w:cs="Arial"/>
          <w:spacing w:val="0"/>
          <w:sz w:val="22"/>
          <w:szCs w:val="22"/>
        </w:rPr>
        <w:t>Division of Workers’ Compensation, Legal Unit</w:t>
      </w:r>
    </w:p>
    <w:p w:rsidR="002A0F64" w:rsidRPr="005E20CB" w:rsidRDefault="002A0F64" w:rsidP="002A0F64">
      <w:pPr>
        <w:pStyle w:val="MessageHeader"/>
        <w:spacing w:after="0" w:line="240" w:lineRule="auto"/>
        <w:rPr>
          <w:rStyle w:val="MessageHeaderLabel"/>
          <w:rFonts w:ascii="Arial" w:hAnsi="Arial" w:cs="Arial"/>
          <w:spacing w:val="0"/>
          <w:sz w:val="22"/>
          <w:szCs w:val="22"/>
        </w:rPr>
      </w:pPr>
      <w:r w:rsidRPr="005E20CB">
        <w:rPr>
          <w:rStyle w:val="MessageHeaderLabel"/>
          <w:rFonts w:ascii="Arial" w:hAnsi="Arial" w:cs="Arial"/>
          <w:spacing w:val="0"/>
          <w:sz w:val="22"/>
          <w:szCs w:val="22"/>
        </w:rPr>
        <w:t xml:space="preserve">Post Office Box 420603 </w:t>
      </w:r>
    </w:p>
    <w:p w:rsidR="002A0F64" w:rsidRPr="005E20CB" w:rsidRDefault="002A0F64" w:rsidP="002A0F64">
      <w:pPr>
        <w:pStyle w:val="MessageHeader"/>
        <w:spacing w:after="0" w:line="240" w:lineRule="auto"/>
        <w:rPr>
          <w:rStyle w:val="MessageHeaderLabel"/>
          <w:rFonts w:ascii="Arial" w:hAnsi="Arial" w:cs="Arial"/>
          <w:spacing w:val="0"/>
          <w:sz w:val="22"/>
          <w:szCs w:val="22"/>
        </w:rPr>
      </w:pPr>
      <w:r w:rsidRPr="005E20CB">
        <w:rPr>
          <w:rStyle w:val="MessageHeaderLabel"/>
          <w:rFonts w:ascii="Arial" w:hAnsi="Arial" w:cs="Arial"/>
          <w:spacing w:val="0"/>
          <w:sz w:val="22"/>
          <w:szCs w:val="22"/>
        </w:rPr>
        <w:t>San Francisco, CA  94142</w:t>
      </w:r>
    </w:p>
    <w:p w:rsidR="002A0F64" w:rsidRPr="005E20CB" w:rsidRDefault="002A0F64" w:rsidP="002A0F64">
      <w:pPr>
        <w:pStyle w:val="MessageHeader"/>
        <w:spacing w:after="0" w:line="240" w:lineRule="auto"/>
        <w:rPr>
          <w:rStyle w:val="MessageHeaderLabel"/>
          <w:rFonts w:ascii="Arial" w:hAnsi="Arial" w:cs="Arial"/>
          <w:spacing w:val="0"/>
          <w:sz w:val="22"/>
          <w:szCs w:val="22"/>
        </w:rPr>
      </w:pPr>
    </w:p>
    <w:p w:rsidR="002A0F64" w:rsidRPr="005E20CB" w:rsidRDefault="002A0F64" w:rsidP="002A0F64">
      <w:pPr>
        <w:pStyle w:val="MessageHeader"/>
        <w:spacing w:after="0" w:line="240" w:lineRule="auto"/>
        <w:rPr>
          <w:rStyle w:val="MessageHeaderLabel"/>
          <w:rFonts w:ascii="Arial" w:hAnsi="Arial" w:cs="Arial"/>
          <w:spacing w:val="0"/>
          <w:sz w:val="22"/>
          <w:szCs w:val="22"/>
        </w:rPr>
      </w:pPr>
    </w:p>
    <w:p w:rsidR="0001030C" w:rsidRPr="005E20CB" w:rsidRDefault="00043A57" w:rsidP="00ED1E90">
      <w:pPr>
        <w:pStyle w:val="MessageHeader"/>
        <w:spacing w:after="0" w:line="240" w:lineRule="auto"/>
        <w:ind w:right="-270"/>
        <w:rPr>
          <w:rStyle w:val="MessageHeaderLabel"/>
          <w:rFonts w:ascii="Arial" w:hAnsi="Arial" w:cs="Arial"/>
          <w:b/>
          <w:spacing w:val="0"/>
          <w:sz w:val="22"/>
          <w:szCs w:val="22"/>
        </w:rPr>
      </w:pPr>
      <w:r w:rsidRPr="005E20CB">
        <w:rPr>
          <w:rStyle w:val="MessageHeaderLabel"/>
          <w:rFonts w:ascii="Arial" w:hAnsi="Arial" w:cs="Arial"/>
          <w:b/>
          <w:spacing w:val="0"/>
          <w:sz w:val="22"/>
          <w:szCs w:val="22"/>
        </w:rPr>
        <w:t xml:space="preserve">RE:  </w:t>
      </w:r>
      <w:r w:rsidR="00F431A2" w:rsidRPr="005E20CB">
        <w:rPr>
          <w:rStyle w:val="MessageHeaderLabel"/>
          <w:rFonts w:ascii="Arial" w:hAnsi="Arial" w:cs="Arial"/>
          <w:b/>
          <w:spacing w:val="0"/>
          <w:sz w:val="22"/>
          <w:szCs w:val="22"/>
        </w:rPr>
        <w:t>2</w:t>
      </w:r>
      <w:r w:rsidR="00F431A2" w:rsidRPr="005E20CB">
        <w:rPr>
          <w:rStyle w:val="MessageHeaderLabel"/>
          <w:rFonts w:ascii="Arial" w:hAnsi="Arial" w:cs="Arial"/>
          <w:b/>
          <w:spacing w:val="0"/>
          <w:sz w:val="22"/>
          <w:szCs w:val="22"/>
          <w:vertAlign w:val="superscript"/>
        </w:rPr>
        <w:t>nd</w:t>
      </w:r>
      <w:r w:rsidR="00F431A2" w:rsidRPr="005E20CB">
        <w:rPr>
          <w:rStyle w:val="MessageHeaderLabel"/>
          <w:rFonts w:ascii="Arial" w:hAnsi="Arial" w:cs="Arial"/>
          <w:b/>
          <w:spacing w:val="0"/>
          <w:sz w:val="22"/>
          <w:szCs w:val="22"/>
        </w:rPr>
        <w:t xml:space="preserve"> </w:t>
      </w:r>
      <w:r w:rsidR="00C421D1" w:rsidRPr="005E20CB">
        <w:rPr>
          <w:rStyle w:val="MessageHeaderLabel"/>
          <w:rFonts w:ascii="Arial" w:hAnsi="Arial" w:cs="Arial"/>
          <w:b/>
          <w:spacing w:val="0"/>
          <w:sz w:val="22"/>
          <w:szCs w:val="22"/>
        </w:rPr>
        <w:t>15-Day Comments</w:t>
      </w:r>
      <w:r w:rsidR="00A94505" w:rsidRPr="005E20CB">
        <w:rPr>
          <w:rStyle w:val="MessageHeaderLabel"/>
          <w:rFonts w:ascii="Arial" w:hAnsi="Arial" w:cs="Arial"/>
          <w:b/>
          <w:spacing w:val="0"/>
          <w:sz w:val="22"/>
          <w:szCs w:val="22"/>
        </w:rPr>
        <w:t xml:space="preserve"> </w:t>
      </w:r>
      <w:r w:rsidR="00F4422B" w:rsidRPr="005E20CB">
        <w:rPr>
          <w:rStyle w:val="MessageHeaderLabel"/>
          <w:rFonts w:ascii="Arial" w:hAnsi="Arial" w:cs="Arial"/>
          <w:b/>
          <w:spacing w:val="0"/>
          <w:sz w:val="22"/>
          <w:szCs w:val="22"/>
        </w:rPr>
        <w:t>–</w:t>
      </w:r>
      <w:r w:rsidR="00A94505" w:rsidRPr="005E20CB">
        <w:rPr>
          <w:rStyle w:val="MessageHeaderLabel"/>
          <w:rFonts w:ascii="Arial" w:hAnsi="Arial" w:cs="Arial"/>
          <w:b/>
          <w:spacing w:val="0"/>
          <w:sz w:val="22"/>
          <w:szCs w:val="22"/>
        </w:rPr>
        <w:t xml:space="preserve"> </w:t>
      </w:r>
      <w:r w:rsidR="00F4422B" w:rsidRPr="005E20CB">
        <w:rPr>
          <w:rStyle w:val="MessageHeaderLabel"/>
          <w:rFonts w:ascii="Arial" w:hAnsi="Arial" w:cs="Arial"/>
          <w:b/>
          <w:spacing w:val="0"/>
          <w:sz w:val="22"/>
          <w:szCs w:val="22"/>
        </w:rPr>
        <w:t>Medical Treatment Utilization Schedule (MTUS)</w:t>
      </w:r>
      <w:r w:rsidR="008F1B72" w:rsidRPr="005E20CB">
        <w:rPr>
          <w:rStyle w:val="MessageHeaderLabel"/>
          <w:rFonts w:ascii="Arial" w:hAnsi="Arial" w:cs="Arial"/>
          <w:b/>
          <w:spacing w:val="0"/>
          <w:sz w:val="22"/>
          <w:szCs w:val="22"/>
        </w:rPr>
        <w:t xml:space="preserve"> </w:t>
      </w:r>
    </w:p>
    <w:p w:rsidR="002A0F64" w:rsidRPr="005E20CB" w:rsidRDefault="002A0F64" w:rsidP="002A0F64">
      <w:pPr>
        <w:rPr>
          <w:rFonts w:ascii="Arial" w:hAnsi="Arial" w:cs="Arial"/>
          <w:color w:val="auto"/>
          <w:sz w:val="22"/>
          <w:szCs w:val="22"/>
          <w:lang w:val="en"/>
        </w:rPr>
      </w:pPr>
    </w:p>
    <w:p w:rsidR="002A0F64" w:rsidRPr="005E20CB" w:rsidRDefault="002A0F64" w:rsidP="002A0F64">
      <w:pPr>
        <w:rPr>
          <w:rFonts w:ascii="Arial" w:hAnsi="Arial" w:cs="Arial"/>
          <w:color w:val="auto"/>
          <w:sz w:val="22"/>
          <w:szCs w:val="22"/>
          <w:lang w:val="en"/>
        </w:rPr>
      </w:pPr>
    </w:p>
    <w:p w:rsidR="004C58B1" w:rsidRPr="005E20CB" w:rsidRDefault="004C58B1" w:rsidP="004C58B1">
      <w:pPr>
        <w:rPr>
          <w:rFonts w:ascii="Arial" w:hAnsi="Arial" w:cs="Arial"/>
          <w:color w:val="auto"/>
          <w:sz w:val="22"/>
          <w:szCs w:val="22"/>
          <w:lang w:val="en"/>
        </w:rPr>
      </w:pPr>
      <w:r w:rsidRPr="005E20CB">
        <w:rPr>
          <w:rFonts w:ascii="Arial" w:hAnsi="Arial" w:cs="Arial"/>
          <w:color w:val="auto"/>
          <w:sz w:val="22"/>
          <w:szCs w:val="22"/>
          <w:lang w:val="en"/>
        </w:rPr>
        <w:t>Dear Ms. Gray:</w:t>
      </w:r>
    </w:p>
    <w:p w:rsidR="004C58B1" w:rsidRPr="005E20CB" w:rsidRDefault="004C58B1" w:rsidP="004C58B1">
      <w:pPr>
        <w:rPr>
          <w:rFonts w:ascii="Arial" w:hAnsi="Arial" w:cs="Arial"/>
          <w:color w:val="auto"/>
          <w:sz w:val="22"/>
          <w:szCs w:val="22"/>
          <w:lang w:val="en"/>
        </w:rPr>
      </w:pPr>
    </w:p>
    <w:p w:rsidR="009316C3" w:rsidRPr="005E20CB" w:rsidRDefault="00C421D1" w:rsidP="009316C3">
      <w:pPr>
        <w:keepLines/>
        <w:tabs>
          <w:tab w:val="left" w:pos="900"/>
        </w:tabs>
        <w:rPr>
          <w:rFonts w:ascii="Arial" w:hAnsi="Arial" w:cs="Arial"/>
          <w:sz w:val="22"/>
          <w:szCs w:val="22"/>
        </w:rPr>
      </w:pPr>
      <w:r w:rsidRPr="005E20CB">
        <w:rPr>
          <w:rFonts w:ascii="Arial" w:hAnsi="Arial" w:cs="Arial"/>
          <w:sz w:val="22"/>
          <w:szCs w:val="22"/>
        </w:rPr>
        <w:t>These comments</w:t>
      </w:r>
      <w:r w:rsidR="004C58B1" w:rsidRPr="005E20CB">
        <w:rPr>
          <w:rFonts w:ascii="Arial" w:hAnsi="Arial" w:cs="Arial"/>
          <w:sz w:val="22"/>
          <w:szCs w:val="22"/>
        </w:rPr>
        <w:t xml:space="preserve"> on </w:t>
      </w:r>
      <w:r w:rsidR="00F431A2" w:rsidRPr="005E20CB">
        <w:rPr>
          <w:rFonts w:ascii="Arial" w:hAnsi="Arial" w:cs="Arial"/>
          <w:sz w:val="22"/>
          <w:szCs w:val="22"/>
        </w:rPr>
        <w:t xml:space="preserve">additional </w:t>
      </w:r>
      <w:r w:rsidRPr="005E20CB">
        <w:rPr>
          <w:rFonts w:ascii="Arial" w:hAnsi="Arial" w:cs="Arial"/>
          <w:sz w:val="22"/>
          <w:szCs w:val="22"/>
        </w:rPr>
        <w:t xml:space="preserve">modifications to </w:t>
      </w:r>
      <w:r w:rsidR="00C550C4" w:rsidRPr="005E20CB">
        <w:rPr>
          <w:rFonts w:ascii="Arial" w:hAnsi="Arial" w:cs="Arial"/>
          <w:sz w:val="22"/>
          <w:szCs w:val="22"/>
        </w:rPr>
        <w:t>proposed</w:t>
      </w:r>
      <w:r w:rsidR="00F4422B" w:rsidRPr="005E20CB">
        <w:rPr>
          <w:rFonts w:ascii="Arial" w:hAnsi="Arial" w:cs="Arial"/>
          <w:sz w:val="22"/>
          <w:szCs w:val="22"/>
        </w:rPr>
        <w:t xml:space="preserve"> </w:t>
      </w:r>
      <w:r w:rsidR="00042FDB" w:rsidRPr="005E20CB">
        <w:rPr>
          <w:rFonts w:ascii="Arial" w:hAnsi="Arial" w:cs="Arial"/>
          <w:sz w:val="22"/>
          <w:szCs w:val="22"/>
        </w:rPr>
        <w:t>revis</w:t>
      </w:r>
      <w:r w:rsidR="00C550C4" w:rsidRPr="005E20CB">
        <w:rPr>
          <w:rFonts w:ascii="Arial" w:hAnsi="Arial" w:cs="Arial"/>
          <w:sz w:val="22"/>
          <w:szCs w:val="22"/>
        </w:rPr>
        <w:t xml:space="preserve">ions to the </w:t>
      </w:r>
      <w:r w:rsidR="00042FDB" w:rsidRPr="005E20CB">
        <w:rPr>
          <w:rFonts w:ascii="Arial" w:hAnsi="Arial" w:cs="Arial"/>
          <w:sz w:val="22"/>
          <w:szCs w:val="22"/>
        </w:rPr>
        <w:t xml:space="preserve">Medical Treatment Utilization Schedule (MTUS) regulations </w:t>
      </w:r>
      <w:r w:rsidRPr="005E20CB">
        <w:rPr>
          <w:rFonts w:ascii="Arial" w:hAnsi="Arial" w:cs="Arial"/>
          <w:sz w:val="22"/>
          <w:szCs w:val="22"/>
        </w:rPr>
        <w:t>are</w:t>
      </w:r>
      <w:r w:rsidR="004C58B1" w:rsidRPr="005E20CB">
        <w:rPr>
          <w:rFonts w:ascii="Arial" w:hAnsi="Arial" w:cs="Arial"/>
          <w:sz w:val="22"/>
          <w:szCs w:val="22"/>
        </w:rPr>
        <w:t xml:space="preserve"> presented on behalf of members of the California Workers' Compensation Institute (the Institute).  </w:t>
      </w:r>
      <w:r w:rsidR="009316C3" w:rsidRPr="005E20CB">
        <w:rPr>
          <w:rFonts w:ascii="Arial" w:hAnsi="Arial" w:cs="Arial"/>
          <w:sz w:val="22"/>
          <w:szCs w:val="22"/>
        </w:rPr>
        <w:t>Institute members include insurers writing 7</w:t>
      </w:r>
      <w:r w:rsidR="00552BDE" w:rsidRPr="005E20CB">
        <w:rPr>
          <w:rFonts w:ascii="Arial" w:hAnsi="Arial" w:cs="Arial"/>
          <w:sz w:val="22"/>
          <w:szCs w:val="22"/>
        </w:rPr>
        <w:t>1</w:t>
      </w:r>
      <w:r w:rsidR="009316C3" w:rsidRPr="005E20CB">
        <w:rPr>
          <w:rFonts w:ascii="Arial" w:hAnsi="Arial" w:cs="Arial"/>
          <w:sz w:val="22"/>
          <w:szCs w:val="22"/>
        </w:rPr>
        <w:t>% of California’s workers’ compensation premium, and self-insured employers with $4</w:t>
      </w:r>
      <w:r w:rsidR="00552BDE" w:rsidRPr="005E20CB">
        <w:rPr>
          <w:rFonts w:ascii="Arial" w:hAnsi="Arial" w:cs="Arial"/>
          <w:sz w:val="22"/>
          <w:szCs w:val="22"/>
        </w:rPr>
        <w:t>6</w:t>
      </w:r>
      <w:r w:rsidR="009316C3" w:rsidRPr="005E20CB">
        <w:rPr>
          <w:rFonts w:ascii="Arial" w:hAnsi="Arial" w:cs="Arial"/>
          <w:sz w:val="22"/>
          <w:szCs w:val="22"/>
        </w:rPr>
        <w:t>B of annual payroll (2</w:t>
      </w:r>
      <w:r w:rsidR="00552BDE" w:rsidRPr="005E20CB">
        <w:rPr>
          <w:rFonts w:ascii="Arial" w:hAnsi="Arial" w:cs="Arial"/>
          <w:sz w:val="22"/>
          <w:szCs w:val="22"/>
        </w:rPr>
        <w:t>6</w:t>
      </w:r>
      <w:r w:rsidR="009316C3" w:rsidRPr="005E20CB">
        <w:rPr>
          <w:rFonts w:ascii="Arial" w:hAnsi="Arial" w:cs="Arial"/>
          <w:sz w:val="22"/>
          <w:szCs w:val="22"/>
        </w:rPr>
        <w:t xml:space="preserve">% of the state’s total annual self-insured payroll).  </w:t>
      </w:r>
    </w:p>
    <w:p w:rsidR="009316C3" w:rsidRPr="005E20CB" w:rsidRDefault="009316C3" w:rsidP="009316C3">
      <w:pPr>
        <w:keepLines/>
        <w:tabs>
          <w:tab w:val="left" w:pos="900"/>
        </w:tabs>
        <w:rPr>
          <w:rFonts w:ascii="Arial" w:hAnsi="Arial" w:cs="Arial"/>
          <w:sz w:val="22"/>
          <w:szCs w:val="22"/>
        </w:rPr>
      </w:pPr>
    </w:p>
    <w:p w:rsidR="009316C3" w:rsidRPr="005E20CB" w:rsidRDefault="009316C3" w:rsidP="009316C3">
      <w:pPr>
        <w:keepLines/>
        <w:tabs>
          <w:tab w:val="left" w:pos="900"/>
        </w:tabs>
        <w:rPr>
          <w:rFonts w:ascii="Arial" w:hAnsi="Arial" w:cs="Arial"/>
          <w:sz w:val="22"/>
          <w:szCs w:val="22"/>
        </w:rPr>
      </w:pPr>
      <w:r w:rsidRPr="005E20CB">
        <w:rPr>
          <w:rFonts w:ascii="Arial" w:hAnsi="Arial" w:cs="Arial"/>
          <w:sz w:val="22"/>
          <w:szCs w:val="22"/>
        </w:rPr>
        <w:t xml:space="preserve">Insurer members of the Institute include ACE, AIG, Alaska National Insurance Company,  </w:t>
      </w:r>
      <w:proofErr w:type="spellStart"/>
      <w:r w:rsidRPr="005E20CB">
        <w:rPr>
          <w:rFonts w:ascii="Arial" w:hAnsi="Arial" w:cs="Arial"/>
          <w:sz w:val="22"/>
          <w:szCs w:val="22"/>
        </w:rPr>
        <w:t>AmTrust</w:t>
      </w:r>
      <w:proofErr w:type="spellEnd"/>
      <w:r w:rsidRPr="005E20CB">
        <w:rPr>
          <w:rFonts w:ascii="Arial" w:hAnsi="Arial" w:cs="Arial"/>
          <w:sz w:val="22"/>
          <w:szCs w:val="22"/>
        </w:rPr>
        <w:t xml:space="preserve"> North America, Chubb Group, CNA, </w:t>
      </w:r>
      <w:proofErr w:type="spellStart"/>
      <w:r w:rsidRPr="005E20CB">
        <w:rPr>
          <w:rFonts w:ascii="Arial" w:hAnsi="Arial" w:cs="Arial"/>
          <w:sz w:val="22"/>
          <w:szCs w:val="22"/>
        </w:rPr>
        <w:t>CompWest</w:t>
      </w:r>
      <w:proofErr w:type="spellEnd"/>
      <w:r w:rsidRPr="005E20CB">
        <w:rPr>
          <w:rFonts w:ascii="Arial" w:hAnsi="Arial" w:cs="Arial"/>
          <w:sz w:val="22"/>
          <w:szCs w:val="22"/>
        </w:rPr>
        <w:t xml:space="preserve"> Insurance Company, Crum &amp; Forster, Employers, Everest National Insurance Company, Fireman's Fund Insurance Company,           The Hartford, ICW Group, Liberty Mutual Insurance, Pacific Compensation Insurance Company, Preferred Employers Group, Springfield Insurance Company, State Compensation Insurance Fund, State Farm Insurance Companies, Travelers, XL America, Zenith Insurance Company, and Zurich North America.</w:t>
      </w:r>
    </w:p>
    <w:p w:rsidR="009316C3" w:rsidRPr="005E20CB" w:rsidRDefault="009316C3" w:rsidP="009316C3">
      <w:pPr>
        <w:keepLines/>
        <w:tabs>
          <w:tab w:val="left" w:pos="900"/>
        </w:tabs>
        <w:rPr>
          <w:rFonts w:ascii="Arial" w:hAnsi="Arial" w:cs="Arial"/>
          <w:sz w:val="22"/>
          <w:szCs w:val="22"/>
        </w:rPr>
      </w:pPr>
    </w:p>
    <w:p w:rsidR="009316C3" w:rsidRPr="005E20CB" w:rsidRDefault="009316C3" w:rsidP="009316C3">
      <w:pPr>
        <w:keepLines/>
        <w:tabs>
          <w:tab w:val="left" w:pos="900"/>
        </w:tabs>
        <w:rPr>
          <w:rFonts w:ascii="Arial" w:hAnsi="Arial" w:cs="Arial"/>
          <w:sz w:val="22"/>
          <w:szCs w:val="22"/>
        </w:rPr>
      </w:pPr>
      <w:r w:rsidRPr="005E20CB">
        <w:rPr>
          <w:rFonts w:ascii="Arial" w:hAnsi="Arial" w:cs="Arial"/>
          <w:sz w:val="22"/>
          <w:szCs w:val="22"/>
        </w:rPr>
        <w:t xml:space="preserve">Self-insured employer members are Adventist Health, Agilent Technologies, Chevron Corporation, City and County of San Francisco, City of Santa Ana, City of Torrance, Contra Costa County Schools Insurance Group, Costco Wholesale, County of San Bernardino Risk Management, County of Santa Clara Risk Management, Dignity Health, Foster Farms, Grimmway Enterprises Inc., Kaiser Permanente, Marriott International, Inc., Pacific Gas &amp; Electric Company, Safeway, Inc., Schools Insurance Authority, Sempra Energy, Shasta County Risk Management, </w:t>
      </w:r>
      <w:r w:rsidR="00A7644B" w:rsidRPr="005E20CB">
        <w:rPr>
          <w:rFonts w:ascii="Arial" w:hAnsi="Arial" w:cs="Arial"/>
          <w:sz w:val="22"/>
          <w:szCs w:val="22"/>
        </w:rPr>
        <w:t xml:space="preserve">Shasta-Trinity Schools Insurance Group, </w:t>
      </w:r>
      <w:r w:rsidRPr="005E20CB">
        <w:rPr>
          <w:rFonts w:ascii="Arial" w:hAnsi="Arial" w:cs="Arial"/>
          <w:sz w:val="22"/>
          <w:szCs w:val="22"/>
        </w:rPr>
        <w:t xml:space="preserve">Southern California Edison, Sutter Health, University of California, and The Walt Disney Company. </w:t>
      </w:r>
    </w:p>
    <w:p w:rsidR="009316C3" w:rsidRPr="005E20CB" w:rsidRDefault="009316C3" w:rsidP="009316C3">
      <w:pPr>
        <w:keepLines/>
        <w:tabs>
          <w:tab w:val="left" w:pos="900"/>
        </w:tabs>
        <w:rPr>
          <w:rFonts w:ascii="Arial" w:hAnsi="Arial" w:cs="Arial"/>
          <w:sz w:val="22"/>
          <w:szCs w:val="22"/>
        </w:rPr>
      </w:pPr>
    </w:p>
    <w:p w:rsidR="004C58B1" w:rsidRPr="005E20CB" w:rsidRDefault="004C58B1" w:rsidP="004C58B1">
      <w:pPr>
        <w:keepLines/>
        <w:tabs>
          <w:tab w:val="left" w:pos="900"/>
        </w:tabs>
        <w:rPr>
          <w:rFonts w:ascii="Arial" w:hAnsi="Arial" w:cs="Arial"/>
          <w:spacing w:val="-5"/>
          <w:sz w:val="22"/>
          <w:szCs w:val="22"/>
        </w:rPr>
      </w:pPr>
      <w:r w:rsidRPr="005E20CB">
        <w:rPr>
          <w:rFonts w:ascii="Arial" w:hAnsi="Arial" w:cs="Arial"/>
          <w:spacing w:val="-5"/>
          <w:sz w:val="22"/>
          <w:szCs w:val="22"/>
        </w:rPr>
        <w:t xml:space="preserve">Recommended revisions to the </w:t>
      </w:r>
      <w:r w:rsidR="00962D0E" w:rsidRPr="005E20CB">
        <w:rPr>
          <w:rFonts w:ascii="Arial" w:hAnsi="Arial" w:cs="Arial"/>
          <w:spacing w:val="-5"/>
          <w:sz w:val="22"/>
          <w:szCs w:val="22"/>
        </w:rPr>
        <w:t>modified</w:t>
      </w:r>
      <w:r w:rsidR="00042FDB" w:rsidRPr="005E20CB">
        <w:rPr>
          <w:rFonts w:ascii="Arial" w:hAnsi="Arial" w:cs="Arial"/>
          <w:spacing w:val="-5"/>
          <w:sz w:val="22"/>
          <w:szCs w:val="22"/>
        </w:rPr>
        <w:t xml:space="preserve"> </w:t>
      </w:r>
      <w:r w:rsidR="00962D0E" w:rsidRPr="005E20CB">
        <w:rPr>
          <w:rFonts w:ascii="Arial" w:hAnsi="Arial" w:cs="Arial"/>
          <w:spacing w:val="-5"/>
          <w:sz w:val="22"/>
          <w:szCs w:val="22"/>
        </w:rPr>
        <w:t>proposed</w:t>
      </w:r>
      <w:r w:rsidR="00042FDB" w:rsidRPr="005E20CB">
        <w:rPr>
          <w:rFonts w:ascii="Arial" w:hAnsi="Arial" w:cs="Arial"/>
          <w:spacing w:val="-5"/>
          <w:sz w:val="22"/>
          <w:szCs w:val="22"/>
        </w:rPr>
        <w:t xml:space="preserve"> </w:t>
      </w:r>
      <w:r w:rsidR="00DD4338" w:rsidRPr="005E20CB">
        <w:rPr>
          <w:rFonts w:ascii="Arial" w:hAnsi="Arial" w:cs="Arial"/>
          <w:spacing w:val="-5"/>
          <w:sz w:val="22"/>
          <w:szCs w:val="22"/>
        </w:rPr>
        <w:t>Medical Treatment Utilization (</w:t>
      </w:r>
      <w:r w:rsidR="00042FDB" w:rsidRPr="005E20CB">
        <w:rPr>
          <w:rFonts w:ascii="Arial" w:hAnsi="Arial" w:cs="Arial"/>
          <w:spacing w:val="-5"/>
          <w:sz w:val="22"/>
          <w:szCs w:val="22"/>
        </w:rPr>
        <w:t>MTUS</w:t>
      </w:r>
      <w:r w:rsidR="00DD4338" w:rsidRPr="005E20CB">
        <w:rPr>
          <w:rFonts w:ascii="Arial" w:hAnsi="Arial" w:cs="Arial"/>
          <w:spacing w:val="-5"/>
          <w:sz w:val="22"/>
          <w:szCs w:val="22"/>
        </w:rPr>
        <w:t>)</w:t>
      </w:r>
      <w:r w:rsidR="00042FDB" w:rsidRPr="005E20CB">
        <w:rPr>
          <w:rFonts w:ascii="Arial" w:hAnsi="Arial" w:cs="Arial"/>
          <w:spacing w:val="-5"/>
          <w:sz w:val="22"/>
          <w:szCs w:val="22"/>
        </w:rPr>
        <w:t xml:space="preserve"> regulations </w:t>
      </w:r>
      <w:r w:rsidRPr="005E20CB">
        <w:rPr>
          <w:rFonts w:ascii="Arial" w:hAnsi="Arial" w:cs="Arial"/>
          <w:spacing w:val="-5"/>
          <w:sz w:val="22"/>
          <w:szCs w:val="22"/>
        </w:rPr>
        <w:t xml:space="preserve">are indicated by </w:t>
      </w:r>
      <w:r w:rsidRPr="005E20CB">
        <w:rPr>
          <w:rFonts w:ascii="Arial" w:hAnsi="Arial" w:cs="Arial"/>
          <w:color w:val="943634" w:themeColor="accent2" w:themeShade="BF"/>
          <w:sz w:val="22"/>
          <w:szCs w:val="22"/>
          <w:u w:val="single"/>
        </w:rPr>
        <w:t>underscore</w:t>
      </w:r>
      <w:r w:rsidRPr="005E20CB">
        <w:rPr>
          <w:rFonts w:ascii="Arial" w:hAnsi="Arial" w:cs="Arial"/>
          <w:spacing w:val="-5"/>
          <w:sz w:val="22"/>
          <w:szCs w:val="22"/>
        </w:rPr>
        <w:t xml:space="preserve"> and </w:t>
      </w:r>
      <w:r w:rsidRPr="005E20CB">
        <w:rPr>
          <w:rFonts w:ascii="Arial" w:hAnsi="Arial" w:cs="Arial"/>
          <w:strike/>
          <w:color w:val="943634" w:themeColor="accent2" w:themeShade="BF"/>
          <w:sz w:val="22"/>
          <w:szCs w:val="22"/>
        </w:rPr>
        <w:t>strikeout</w:t>
      </w:r>
      <w:r w:rsidRPr="005E20CB">
        <w:rPr>
          <w:rFonts w:ascii="Arial" w:hAnsi="Arial" w:cs="Arial"/>
          <w:spacing w:val="-5"/>
          <w:sz w:val="22"/>
          <w:szCs w:val="22"/>
        </w:rPr>
        <w:t xml:space="preserve">.  Comments and discussion by the Institute are indented and identified by </w:t>
      </w:r>
      <w:r w:rsidRPr="005E20CB">
        <w:rPr>
          <w:rFonts w:ascii="Arial" w:hAnsi="Arial" w:cs="Arial"/>
          <w:i/>
          <w:color w:val="943634" w:themeColor="accent2" w:themeShade="BF"/>
          <w:sz w:val="22"/>
          <w:szCs w:val="22"/>
        </w:rPr>
        <w:t>italicized text</w:t>
      </w:r>
      <w:r w:rsidRPr="005E20CB">
        <w:rPr>
          <w:rFonts w:ascii="Arial" w:hAnsi="Arial" w:cs="Arial"/>
          <w:spacing w:val="-5"/>
          <w:sz w:val="22"/>
          <w:szCs w:val="22"/>
        </w:rPr>
        <w:t xml:space="preserve">. </w:t>
      </w:r>
    </w:p>
    <w:p w:rsidR="00CF2BE1" w:rsidRPr="005E20CB" w:rsidRDefault="00CF2BE1" w:rsidP="00AD6197">
      <w:pPr>
        <w:keepLines/>
        <w:tabs>
          <w:tab w:val="left" w:pos="900"/>
        </w:tabs>
        <w:jc w:val="center"/>
        <w:rPr>
          <w:rFonts w:ascii="Arial" w:hAnsi="Arial" w:cs="Arial"/>
          <w:b/>
          <w:spacing w:val="-5"/>
          <w:sz w:val="22"/>
          <w:szCs w:val="22"/>
        </w:rPr>
      </w:pPr>
    </w:p>
    <w:p w:rsidR="00CF2BE1" w:rsidRPr="005E20CB" w:rsidRDefault="00CF2BE1" w:rsidP="00AD6197">
      <w:pPr>
        <w:keepLines/>
        <w:tabs>
          <w:tab w:val="left" w:pos="900"/>
        </w:tabs>
        <w:jc w:val="center"/>
        <w:rPr>
          <w:rFonts w:ascii="Arial" w:hAnsi="Arial" w:cs="Arial"/>
          <w:b/>
          <w:spacing w:val="-5"/>
          <w:sz w:val="22"/>
          <w:szCs w:val="22"/>
        </w:rPr>
      </w:pPr>
    </w:p>
    <w:p w:rsidR="00AD6197" w:rsidRPr="005E20CB" w:rsidRDefault="00AD6197" w:rsidP="00AD6197">
      <w:pPr>
        <w:keepLines/>
        <w:tabs>
          <w:tab w:val="left" w:pos="900"/>
        </w:tabs>
        <w:jc w:val="center"/>
        <w:rPr>
          <w:rFonts w:ascii="Arial" w:hAnsi="Arial" w:cs="Arial"/>
          <w:b/>
          <w:spacing w:val="-5"/>
          <w:sz w:val="22"/>
          <w:szCs w:val="22"/>
        </w:rPr>
      </w:pPr>
      <w:r w:rsidRPr="005E20CB">
        <w:rPr>
          <w:rFonts w:ascii="Arial" w:hAnsi="Arial" w:cs="Arial"/>
          <w:b/>
          <w:spacing w:val="-5"/>
          <w:sz w:val="22"/>
          <w:szCs w:val="22"/>
        </w:rPr>
        <w:lastRenderedPageBreak/>
        <w:t>Introduction</w:t>
      </w:r>
    </w:p>
    <w:p w:rsidR="00AD6197" w:rsidRPr="005E20CB" w:rsidRDefault="00AD6197" w:rsidP="003B4B5C">
      <w:pPr>
        <w:keepLines/>
        <w:tabs>
          <w:tab w:val="left" w:pos="900"/>
        </w:tabs>
        <w:rPr>
          <w:rFonts w:ascii="Arial" w:hAnsi="Arial" w:cs="Arial"/>
          <w:b/>
          <w:spacing w:val="-5"/>
          <w:sz w:val="22"/>
          <w:szCs w:val="22"/>
        </w:rPr>
      </w:pPr>
    </w:p>
    <w:p w:rsidR="003B4B5C" w:rsidRPr="005E20CB" w:rsidRDefault="003B4B5C" w:rsidP="003B4B5C">
      <w:pPr>
        <w:keepLines/>
        <w:tabs>
          <w:tab w:val="left" w:pos="900"/>
        </w:tabs>
        <w:rPr>
          <w:rFonts w:ascii="Arial" w:hAnsi="Arial" w:cs="Arial"/>
          <w:spacing w:val="-5"/>
          <w:sz w:val="22"/>
          <w:szCs w:val="22"/>
        </w:rPr>
      </w:pPr>
      <w:r w:rsidRPr="005E20CB">
        <w:rPr>
          <w:rFonts w:ascii="Arial" w:hAnsi="Arial" w:cs="Arial"/>
          <w:spacing w:val="-5"/>
          <w:sz w:val="22"/>
          <w:szCs w:val="22"/>
        </w:rPr>
        <w:t>The Institute is very appreciative of the revisions and clarifications incorporated by the administrative director (AD) in the current proposed regulations.  These changes are clearly aimed at creating a more efficient and effective process for identifying and providing proven, high</w:t>
      </w:r>
      <w:r w:rsidR="00701B3E" w:rsidRPr="005E20CB">
        <w:rPr>
          <w:rFonts w:ascii="Arial" w:hAnsi="Arial" w:cs="Arial"/>
          <w:spacing w:val="-5"/>
          <w:sz w:val="22"/>
          <w:szCs w:val="22"/>
        </w:rPr>
        <w:t>-</w:t>
      </w:r>
      <w:r w:rsidRPr="005E20CB">
        <w:rPr>
          <w:rFonts w:ascii="Arial" w:hAnsi="Arial" w:cs="Arial"/>
          <w:spacing w:val="-5"/>
          <w:sz w:val="22"/>
          <w:szCs w:val="22"/>
        </w:rPr>
        <w:t xml:space="preserve">quality medical care to injured workers as promptly as possible.  </w:t>
      </w:r>
      <w:r w:rsidR="00514018" w:rsidRPr="005E20CB">
        <w:rPr>
          <w:rFonts w:ascii="Arial" w:hAnsi="Arial" w:cs="Arial"/>
          <w:spacing w:val="-5"/>
          <w:sz w:val="22"/>
          <w:szCs w:val="22"/>
        </w:rPr>
        <w:t>As noted, the medical treatment guidelines will be used not just by treating physicians</w:t>
      </w:r>
      <w:r w:rsidR="00701B3E" w:rsidRPr="005E20CB">
        <w:rPr>
          <w:rFonts w:ascii="Arial" w:hAnsi="Arial" w:cs="Arial"/>
          <w:spacing w:val="-5"/>
          <w:sz w:val="22"/>
          <w:szCs w:val="22"/>
        </w:rPr>
        <w:t>,</w:t>
      </w:r>
      <w:r w:rsidR="00514018" w:rsidRPr="005E20CB">
        <w:rPr>
          <w:rFonts w:ascii="Arial" w:hAnsi="Arial" w:cs="Arial"/>
          <w:spacing w:val="-5"/>
          <w:sz w:val="22"/>
          <w:szCs w:val="22"/>
        </w:rPr>
        <w:t xml:space="preserve"> but by the entire workers compensation community to determine the best medical care available.  The revisions to the proposed regulations are very helpful for all those individuals using the MTUS.</w:t>
      </w:r>
    </w:p>
    <w:p w:rsidR="003B4B5C" w:rsidRPr="005E20CB" w:rsidRDefault="003B4B5C" w:rsidP="003B4B5C">
      <w:pPr>
        <w:keepLines/>
        <w:tabs>
          <w:tab w:val="left" w:pos="900"/>
        </w:tabs>
        <w:rPr>
          <w:rFonts w:ascii="Arial" w:hAnsi="Arial" w:cs="Arial"/>
          <w:b/>
          <w:spacing w:val="-5"/>
          <w:sz w:val="22"/>
          <w:szCs w:val="22"/>
        </w:rPr>
      </w:pPr>
    </w:p>
    <w:p w:rsidR="00AD6197" w:rsidRPr="005E20CB" w:rsidRDefault="00AD6197" w:rsidP="00AD6197">
      <w:pPr>
        <w:rPr>
          <w:rFonts w:ascii="Arial" w:eastAsiaTheme="minorHAnsi" w:hAnsi="Arial" w:cs="Arial"/>
          <w:color w:val="auto"/>
          <w:sz w:val="22"/>
          <w:szCs w:val="22"/>
        </w:rPr>
      </w:pPr>
      <w:r w:rsidRPr="005E20CB">
        <w:rPr>
          <w:rFonts w:ascii="Arial" w:eastAsiaTheme="minorHAnsi" w:hAnsi="Arial" w:cs="Arial"/>
          <w:b/>
          <w:color w:val="auto"/>
          <w:sz w:val="22"/>
          <w:szCs w:val="22"/>
        </w:rPr>
        <w:t>The Statutory Mandate</w:t>
      </w:r>
    </w:p>
    <w:p w:rsidR="00AD6197" w:rsidRPr="005E20CB" w:rsidRDefault="00AD6197" w:rsidP="00AD6197">
      <w:pPr>
        <w:rPr>
          <w:rFonts w:ascii="Arial" w:eastAsiaTheme="minorHAnsi" w:hAnsi="Arial" w:cs="Arial"/>
          <w:color w:val="auto"/>
          <w:sz w:val="22"/>
          <w:szCs w:val="22"/>
        </w:rPr>
      </w:pPr>
      <w:r w:rsidRPr="005E20CB">
        <w:rPr>
          <w:rFonts w:ascii="Arial" w:eastAsiaTheme="minorHAnsi" w:hAnsi="Arial" w:cs="Arial"/>
          <w:color w:val="auto"/>
          <w:sz w:val="22"/>
          <w:szCs w:val="22"/>
        </w:rPr>
        <w:t xml:space="preserve">The statutory scheme adopted by the Legislature in 2004 made fundamental changes to the provision of medical care to injured employees.  Amendments to the Labor Code in sections 4600, 4604.5 and 5307.27 defined the employer’s liability to provide all medical care “reasonably required to cure or relieve the injured worker from the effects of his or her injury.”  Section 4600 now states: </w:t>
      </w:r>
    </w:p>
    <w:p w:rsidR="00AD6197" w:rsidRPr="005E20CB" w:rsidRDefault="00AD6197" w:rsidP="00AD6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Courier New" w:hAnsi="Arial" w:cs="Arial"/>
          <w:color w:val="auto"/>
          <w:sz w:val="22"/>
          <w:szCs w:val="22"/>
        </w:rPr>
      </w:pPr>
      <w:r w:rsidRPr="005E20CB">
        <w:rPr>
          <w:rFonts w:ascii="Arial" w:eastAsia="Courier New" w:hAnsi="Arial" w:cs="Arial"/>
          <w:color w:val="auto"/>
          <w:sz w:val="22"/>
          <w:szCs w:val="22"/>
        </w:rPr>
        <w:t xml:space="preserve">(b) As used in this division and notwithstanding any other provision of law, medical treatment that is reasonably required to cure or relieve the injured worker from the effects of his or her injury </w:t>
      </w:r>
      <w:r w:rsidRPr="005E20CB">
        <w:rPr>
          <w:rFonts w:ascii="Arial" w:eastAsia="Courier New" w:hAnsi="Arial" w:cs="Arial"/>
          <w:b/>
          <w:i/>
          <w:color w:val="auto"/>
          <w:sz w:val="22"/>
          <w:szCs w:val="22"/>
        </w:rPr>
        <w:t>means</w:t>
      </w:r>
      <w:r w:rsidRPr="005E20CB">
        <w:rPr>
          <w:rFonts w:ascii="Arial" w:eastAsia="Courier New" w:hAnsi="Arial" w:cs="Arial"/>
          <w:color w:val="auto"/>
          <w:sz w:val="22"/>
          <w:szCs w:val="22"/>
        </w:rPr>
        <w:t xml:space="preserve"> treatment that is based upon the guidelines adopted by the administrative director pursuant to Section 5307.27. (Emphasis added) </w:t>
      </w:r>
    </w:p>
    <w:p w:rsidR="00AD6197" w:rsidRPr="005E20CB" w:rsidRDefault="00AD6197" w:rsidP="00AD6197">
      <w:pPr>
        <w:rPr>
          <w:rFonts w:ascii="Arial" w:eastAsiaTheme="minorHAnsi" w:hAnsi="Arial" w:cs="Arial"/>
          <w:color w:val="auto"/>
          <w:sz w:val="22"/>
          <w:szCs w:val="22"/>
        </w:rPr>
      </w:pPr>
    </w:p>
    <w:p w:rsidR="00AD6197" w:rsidRPr="005E20CB" w:rsidRDefault="00AD6197" w:rsidP="00AD6197">
      <w:pPr>
        <w:rPr>
          <w:rFonts w:ascii="Arial" w:eastAsiaTheme="minorHAnsi" w:hAnsi="Arial" w:cs="Arial"/>
          <w:color w:val="auto"/>
          <w:sz w:val="22"/>
          <w:szCs w:val="22"/>
        </w:rPr>
      </w:pPr>
      <w:r w:rsidRPr="005E20CB">
        <w:rPr>
          <w:rFonts w:ascii="Arial" w:eastAsiaTheme="minorHAnsi" w:hAnsi="Arial" w:cs="Arial"/>
          <w:color w:val="auto"/>
          <w:sz w:val="22"/>
          <w:szCs w:val="22"/>
        </w:rPr>
        <w:t>Section 5307.27, defines medical care as follows:</w:t>
      </w:r>
    </w:p>
    <w:p w:rsidR="00AD6197" w:rsidRPr="005E20CB" w:rsidRDefault="00AD6197" w:rsidP="00AD6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Courier New" w:hAnsi="Arial" w:cs="Arial"/>
          <w:sz w:val="22"/>
          <w:szCs w:val="22"/>
        </w:rPr>
      </w:pPr>
      <w:r w:rsidRPr="005E20CB">
        <w:rPr>
          <w:rFonts w:ascii="Arial" w:eastAsia="Courier New" w:hAnsi="Arial" w:cs="Arial"/>
          <w:sz w:val="22"/>
          <w:szCs w:val="22"/>
        </w:rPr>
        <w:t xml:space="preserve">On or before December 1, 2004, the administrative director shall adopt … a medical treatment utilization schedule, that shall incorporate </w:t>
      </w:r>
      <w:r w:rsidRPr="005E20CB">
        <w:rPr>
          <w:rFonts w:ascii="Arial" w:eastAsia="Courier New" w:hAnsi="Arial" w:cs="Arial"/>
          <w:b/>
          <w:i/>
          <w:sz w:val="22"/>
          <w:szCs w:val="22"/>
        </w:rPr>
        <w:t>the evidence-based, peer-reviewed, nationally recognized standards of care</w:t>
      </w:r>
      <w:r w:rsidRPr="005E20CB">
        <w:rPr>
          <w:rFonts w:ascii="Arial" w:eastAsia="Courier New" w:hAnsi="Arial" w:cs="Arial"/>
          <w:sz w:val="22"/>
          <w:szCs w:val="22"/>
        </w:rPr>
        <w:t xml:space="preserve"> recommended by the commission pursuant to Section 77.5, and that shall address, at a minimum, the frequency, duration, intensity, and appropriateness of all treatment procedures and modalities commonly performed in workers' compensation cases. </w:t>
      </w:r>
      <w:r w:rsidRPr="005E20CB">
        <w:rPr>
          <w:rFonts w:ascii="Arial" w:eastAsia="Courier New" w:hAnsi="Arial" w:cs="Arial"/>
          <w:color w:val="auto"/>
          <w:sz w:val="22"/>
          <w:szCs w:val="22"/>
        </w:rPr>
        <w:t>(Emphasis added)</w:t>
      </w:r>
    </w:p>
    <w:p w:rsidR="00AD6197" w:rsidRPr="005E20CB" w:rsidRDefault="00AD6197" w:rsidP="00AD6197">
      <w:pPr>
        <w:rPr>
          <w:rFonts w:ascii="Arial" w:eastAsiaTheme="minorHAnsi" w:hAnsi="Arial" w:cs="Arial"/>
          <w:color w:val="auto"/>
          <w:sz w:val="22"/>
          <w:szCs w:val="22"/>
        </w:rPr>
      </w:pPr>
    </w:p>
    <w:p w:rsidR="00AD6197" w:rsidRPr="005E20CB" w:rsidRDefault="00AD6197" w:rsidP="00AD6197">
      <w:pPr>
        <w:rPr>
          <w:rFonts w:ascii="Arial" w:eastAsiaTheme="minorHAnsi" w:hAnsi="Arial" w:cs="Arial"/>
          <w:color w:val="auto"/>
          <w:sz w:val="22"/>
          <w:szCs w:val="22"/>
        </w:rPr>
      </w:pPr>
      <w:r w:rsidRPr="005E20CB">
        <w:rPr>
          <w:rFonts w:ascii="Arial" w:eastAsiaTheme="minorHAnsi" w:hAnsi="Arial" w:cs="Arial"/>
          <w:color w:val="auto"/>
          <w:sz w:val="22"/>
          <w:szCs w:val="22"/>
        </w:rPr>
        <w:t>Section 4604.5 specifies:</w:t>
      </w:r>
    </w:p>
    <w:p w:rsidR="00AD6197" w:rsidRPr="005E20CB" w:rsidRDefault="00AD6197" w:rsidP="00AD6197">
      <w:pPr>
        <w:ind w:left="720" w:hanging="720"/>
        <w:rPr>
          <w:rFonts w:ascii="Arial" w:eastAsiaTheme="minorHAnsi" w:hAnsi="Arial" w:cs="Arial"/>
          <w:color w:val="auto"/>
          <w:sz w:val="22"/>
          <w:szCs w:val="22"/>
        </w:rPr>
      </w:pPr>
      <w:r w:rsidRPr="005E20CB">
        <w:rPr>
          <w:rFonts w:ascii="Arial" w:eastAsiaTheme="minorHAnsi" w:hAnsi="Arial" w:cs="Arial"/>
          <w:color w:val="auto"/>
          <w:sz w:val="22"/>
          <w:szCs w:val="22"/>
        </w:rPr>
        <w:tab/>
        <w:t xml:space="preserve">The recommended guidelines set forth in the schedule adopted pursuant to subdivision (a) shall reflect practices that are </w:t>
      </w:r>
      <w:r w:rsidRPr="005E20CB">
        <w:rPr>
          <w:rFonts w:ascii="Arial" w:eastAsiaTheme="minorHAnsi" w:hAnsi="Arial" w:cs="Arial"/>
          <w:b/>
          <w:color w:val="auto"/>
          <w:sz w:val="22"/>
          <w:szCs w:val="22"/>
        </w:rPr>
        <w:t>evidence and scientifically based, nationally recognized, and peer reviewed</w:t>
      </w:r>
      <w:r w:rsidRPr="005E20CB">
        <w:rPr>
          <w:rFonts w:ascii="Arial" w:eastAsiaTheme="minorHAnsi" w:hAnsi="Arial" w:cs="Arial"/>
          <w:color w:val="auto"/>
          <w:sz w:val="22"/>
          <w:szCs w:val="22"/>
        </w:rPr>
        <w:t xml:space="preserve">. </w:t>
      </w:r>
      <w:r w:rsidRPr="005E20CB">
        <w:rPr>
          <w:rFonts w:ascii="Arial" w:eastAsia="Courier New" w:hAnsi="Arial" w:cs="Arial"/>
          <w:color w:val="auto"/>
          <w:sz w:val="22"/>
          <w:szCs w:val="22"/>
        </w:rPr>
        <w:t>(Emphasis added)</w:t>
      </w:r>
    </w:p>
    <w:p w:rsidR="00AD6197" w:rsidRPr="005E20CB" w:rsidRDefault="00AD6197" w:rsidP="00AD6197">
      <w:pPr>
        <w:rPr>
          <w:rFonts w:ascii="Arial" w:eastAsiaTheme="minorHAnsi" w:hAnsi="Arial" w:cs="Arial"/>
          <w:color w:val="auto"/>
          <w:sz w:val="22"/>
          <w:szCs w:val="22"/>
        </w:rPr>
      </w:pPr>
    </w:p>
    <w:p w:rsidR="00AD6197" w:rsidRPr="005E20CB" w:rsidRDefault="00AD6197" w:rsidP="00AD6197">
      <w:pPr>
        <w:rPr>
          <w:rFonts w:ascii="Arial" w:eastAsia="Courier New" w:hAnsi="Arial" w:cs="Arial"/>
          <w:color w:val="auto"/>
          <w:sz w:val="22"/>
          <w:szCs w:val="22"/>
        </w:rPr>
      </w:pPr>
      <w:r w:rsidRPr="005E20CB">
        <w:rPr>
          <w:rFonts w:ascii="Arial" w:hAnsi="Arial" w:cs="Arial"/>
          <w:sz w:val="22"/>
          <w:szCs w:val="22"/>
        </w:rPr>
        <w:t xml:space="preserve">The Supreme Court affirmed that determination in </w:t>
      </w:r>
      <w:r w:rsidRPr="005E20CB">
        <w:rPr>
          <w:rFonts w:ascii="Arial" w:hAnsi="Arial" w:cs="Arial"/>
          <w:sz w:val="22"/>
          <w:szCs w:val="22"/>
          <w:u w:val="single"/>
        </w:rPr>
        <w:t>SCIF v WCAB</w:t>
      </w:r>
      <w:r w:rsidRPr="005E20CB">
        <w:rPr>
          <w:rFonts w:ascii="Arial" w:hAnsi="Arial" w:cs="Arial"/>
          <w:sz w:val="22"/>
          <w:szCs w:val="22"/>
        </w:rPr>
        <w:t xml:space="preserve"> (</w:t>
      </w:r>
      <w:proofErr w:type="spellStart"/>
      <w:r w:rsidRPr="005E20CB">
        <w:rPr>
          <w:rFonts w:ascii="Arial" w:hAnsi="Arial" w:cs="Arial"/>
          <w:sz w:val="22"/>
          <w:szCs w:val="22"/>
        </w:rPr>
        <w:t>Sandhagen</w:t>
      </w:r>
      <w:proofErr w:type="spellEnd"/>
      <w:r w:rsidRPr="005E20CB">
        <w:rPr>
          <w:rFonts w:ascii="Arial" w:hAnsi="Arial" w:cs="Arial"/>
          <w:sz w:val="22"/>
          <w:szCs w:val="22"/>
        </w:rPr>
        <w:t xml:space="preserve">) (2008) 73 CCC 981, stating, in essence, that reasonable and necessary medical care under section 4600 is treatment provided in accordance with the medical treatment utilization schedule (MTUS).  </w:t>
      </w:r>
      <w:r w:rsidRPr="005E20CB">
        <w:rPr>
          <w:rFonts w:ascii="Arial" w:eastAsiaTheme="minorHAnsi" w:hAnsi="Arial" w:cs="Arial"/>
          <w:color w:val="auto"/>
          <w:sz w:val="22"/>
          <w:szCs w:val="22"/>
        </w:rPr>
        <w:t xml:space="preserve">To the extent that the proposed </w:t>
      </w:r>
      <w:r w:rsidRPr="005E20CB">
        <w:rPr>
          <w:rFonts w:ascii="Arial" w:eastAsia="Courier New" w:hAnsi="Arial" w:cs="Arial"/>
          <w:color w:val="auto"/>
          <w:sz w:val="22"/>
          <w:szCs w:val="22"/>
        </w:rPr>
        <w:t xml:space="preserve">Medical Utilization Treatment </w:t>
      </w:r>
      <w:r w:rsidRPr="005E20CB">
        <w:rPr>
          <w:rFonts w:ascii="Arial" w:hAnsi="Arial" w:cs="Arial"/>
          <w:sz w:val="22"/>
          <w:szCs w:val="22"/>
        </w:rPr>
        <w:t>Schedule (MTUS) regulations</w:t>
      </w:r>
      <w:r w:rsidRPr="005E20CB">
        <w:rPr>
          <w:rFonts w:ascii="Arial" w:eastAsiaTheme="minorHAnsi" w:hAnsi="Arial" w:cs="Arial"/>
          <w:color w:val="auto"/>
          <w:sz w:val="22"/>
          <w:szCs w:val="22"/>
        </w:rPr>
        <w:t xml:space="preserve"> include references to “best available research evidence with clinical expertise and patient values,” they violate the statutory mandate established by the Legislature. </w:t>
      </w:r>
    </w:p>
    <w:p w:rsidR="00AD6197" w:rsidRPr="005E20CB" w:rsidRDefault="00AD6197" w:rsidP="00AD6197">
      <w:pPr>
        <w:rPr>
          <w:rFonts w:ascii="Arial" w:eastAsiaTheme="minorHAnsi" w:hAnsi="Arial" w:cs="Arial"/>
          <w:b/>
          <w:color w:val="auto"/>
          <w:sz w:val="22"/>
          <w:szCs w:val="22"/>
        </w:rPr>
      </w:pPr>
    </w:p>
    <w:p w:rsidR="00AD6197" w:rsidRPr="005E20CB" w:rsidRDefault="00AD6197" w:rsidP="00AD6197">
      <w:pPr>
        <w:rPr>
          <w:rFonts w:ascii="Arial" w:eastAsiaTheme="minorHAnsi" w:hAnsi="Arial" w:cs="Arial"/>
          <w:b/>
          <w:color w:val="auto"/>
          <w:sz w:val="22"/>
          <w:szCs w:val="22"/>
        </w:rPr>
      </w:pPr>
      <w:r w:rsidRPr="005E20CB">
        <w:rPr>
          <w:rFonts w:ascii="Arial" w:eastAsiaTheme="minorHAnsi" w:hAnsi="Arial" w:cs="Arial"/>
          <w:b/>
          <w:color w:val="auto"/>
          <w:sz w:val="22"/>
          <w:szCs w:val="22"/>
        </w:rPr>
        <w:t>Value Assessment</w:t>
      </w:r>
    </w:p>
    <w:p w:rsidR="00AD6197" w:rsidRPr="005E20CB" w:rsidRDefault="00AD6197" w:rsidP="00AD6197">
      <w:pPr>
        <w:rPr>
          <w:rFonts w:ascii="Arial" w:eastAsiaTheme="minorHAnsi" w:hAnsi="Arial" w:cs="Arial"/>
          <w:color w:val="auto"/>
          <w:sz w:val="22"/>
          <w:szCs w:val="22"/>
        </w:rPr>
      </w:pPr>
      <w:r w:rsidRPr="005E20CB">
        <w:rPr>
          <w:rFonts w:ascii="Arial" w:eastAsiaTheme="minorHAnsi" w:hAnsi="Arial" w:cs="Arial"/>
          <w:color w:val="auto"/>
          <w:sz w:val="22"/>
          <w:szCs w:val="22"/>
        </w:rPr>
        <w:t>The decision to approve a treatment or diagnostic test should not be based solely on whether there is evidence to support that request</w:t>
      </w:r>
      <w:r w:rsidR="00701B3E" w:rsidRPr="005E20CB">
        <w:rPr>
          <w:rFonts w:ascii="Arial" w:eastAsiaTheme="minorHAnsi" w:hAnsi="Arial" w:cs="Arial"/>
          <w:color w:val="auto"/>
          <w:sz w:val="22"/>
          <w:szCs w:val="22"/>
        </w:rPr>
        <w:t>,</w:t>
      </w:r>
      <w:r w:rsidRPr="005E20CB">
        <w:rPr>
          <w:rFonts w:ascii="Arial" w:eastAsiaTheme="minorHAnsi" w:hAnsi="Arial" w:cs="Arial"/>
          <w:color w:val="auto"/>
          <w:sz w:val="22"/>
          <w:szCs w:val="22"/>
        </w:rPr>
        <w:t xml:space="preserve"> as cost effectiveness is also an important component of the analysis.  Incorporation of cost effectiveness has been the standard practice for groups such as the US Preventative Services Task Force. </w:t>
      </w:r>
      <w:r w:rsidRPr="005E20CB">
        <w:rPr>
          <w:sz w:val="22"/>
          <w:szCs w:val="22"/>
        </w:rPr>
        <w:t xml:space="preserve"> </w:t>
      </w:r>
      <w:r w:rsidRPr="005E20CB">
        <w:rPr>
          <w:rFonts w:ascii="Arial" w:eastAsiaTheme="minorHAnsi" w:hAnsi="Arial" w:cs="Arial"/>
          <w:color w:val="auto"/>
          <w:sz w:val="22"/>
          <w:szCs w:val="22"/>
        </w:rPr>
        <w:t xml:space="preserve">Cost-effectiveness analysis includes not only the expected benefits and harms, but also the costs of alternative strategies. </w:t>
      </w:r>
    </w:p>
    <w:p w:rsidR="00AD6197" w:rsidRPr="005E20CB" w:rsidRDefault="00AD6197" w:rsidP="00AD6197">
      <w:pPr>
        <w:rPr>
          <w:rFonts w:ascii="Arial" w:eastAsiaTheme="minorHAnsi" w:hAnsi="Arial" w:cs="Arial"/>
          <w:color w:val="auto"/>
          <w:sz w:val="22"/>
          <w:szCs w:val="22"/>
        </w:rPr>
      </w:pPr>
    </w:p>
    <w:p w:rsidR="00AD6197" w:rsidRPr="005E20CB" w:rsidRDefault="00AD6197" w:rsidP="00AD6197">
      <w:pPr>
        <w:rPr>
          <w:rFonts w:ascii="Arial" w:eastAsiaTheme="minorHAnsi" w:hAnsi="Arial" w:cs="Arial"/>
          <w:color w:val="auto"/>
          <w:sz w:val="22"/>
          <w:szCs w:val="22"/>
        </w:rPr>
      </w:pPr>
      <w:r w:rsidRPr="005E20CB">
        <w:rPr>
          <w:rFonts w:ascii="Arial" w:eastAsiaTheme="minorHAnsi" w:hAnsi="Arial" w:cs="Arial"/>
          <w:color w:val="auto"/>
          <w:sz w:val="22"/>
          <w:szCs w:val="22"/>
        </w:rPr>
        <w:t xml:space="preserve">The American College of Cardiology and the American Heart Association announced in March 2014 that they will begin to include value assessments when developing guidelines.  A study published in JAMA Internal Medicine (2013: 173(12):1091-1097) showed that when formulating </w:t>
      </w:r>
      <w:r w:rsidRPr="005E20CB">
        <w:rPr>
          <w:rFonts w:ascii="Arial" w:eastAsiaTheme="minorHAnsi" w:hAnsi="Arial" w:cs="Arial"/>
          <w:color w:val="auto"/>
          <w:sz w:val="22"/>
          <w:szCs w:val="22"/>
        </w:rPr>
        <w:lastRenderedPageBreak/>
        <w:t>clinical guidance documents, 57% of physician societies explicitly integrated cost, 13% implicitly considered costs, and only 10% intentionally excluded costs.</w:t>
      </w:r>
    </w:p>
    <w:p w:rsidR="00AD6197" w:rsidRPr="005E20CB" w:rsidRDefault="00AD6197" w:rsidP="00AD6197">
      <w:pPr>
        <w:rPr>
          <w:rFonts w:ascii="Arial" w:eastAsiaTheme="minorHAnsi" w:hAnsi="Arial" w:cs="Arial"/>
          <w:color w:val="auto"/>
          <w:sz w:val="22"/>
          <w:szCs w:val="22"/>
        </w:rPr>
      </w:pPr>
    </w:p>
    <w:p w:rsidR="00AD6197" w:rsidRPr="005E20CB" w:rsidRDefault="00AD6197" w:rsidP="00AD6197">
      <w:pPr>
        <w:rPr>
          <w:rFonts w:ascii="Arial" w:eastAsiaTheme="minorHAnsi" w:hAnsi="Arial" w:cs="Arial"/>
          <w:color w:val="auto"/>
          <w:sz w:val="22"/>
          <w:szCs w:val="22"/>
        </w:rPr>
      </w:pPr>
      <w:r w:rsidRPr="005E20CB">
        <w:rPr>
          <w:rFonts w:ascii="Arial" w:eastAsiaTheme="minorHAnsi" w:hAnsi="Arial" w:cs="Arial"/>
          <w:color w:val="auto"/>
          <w:sz w:val="22"/>
          <w:szCs w:val="22"/>
        </w:rPr>
        <w:t>Considering the cost of the therapy and approving a less expensive but equally effective treatment will help address and manage the rising costs of medical treatment. This has essentially been done with respect to brand versus generic drugs, and that concept should be expanded to all treatment requests.  If a requesting provider believes a more expensive treatment will offer benefits not provided by a less expensive efficacious treatment, he or she can document why the more expensive treatment is needed at the time of request.</w:t>
      </w:r>
    </w:p>
    <w:p w:rsidR="00AD6197" w:rsidRPr="005E20CB" w:rsidRDefault="00AD6197" w:rsidP="00AD6197">
      <w:pPr>
        <w:rPr>
          <w:rFonts w:ascii="Arial" w:eastAsiaTheme="minorHAnsi" w:hAnsi="Arial" w:cs="Arial"/>
          <w:color w:val="auto"/>
          <w:sz w:val="22"/>
          <w:szCs w:val="22"/>
        </w:rPr>
      </w:pPr>
    </w:p>
    <w:p w:rsidR="00AD6197" w:rsidRPr="005E20CB" w:rsidRDefault="00AD6197" w:rsidP="00AD6197">
      <w:pPr>
        <w:rPr>
          <w:rFonts w:ascii="Arial" w:eastAsiaTheme="minorHAnsi" w:hAnsi="Arial" w:cs="Arial"/>
          <w:color w:val="auto"/>
          <w:sz w:val="22"/>
          <w:szCs w:val="22"/>
        </w:rPr>
      </w:pPr>
      <w:r w:rsidRPr="005E20CB">
        <w:rPr>
          <w:rFonts w:ascii="Arial" w:eastAsiaTheme="minorHAnsi" w:hAnsi="Arial" w:cs="Arial"/>
          <w:color w:val="auto"/>
          <w:sz w:val="22"/>
          <w:szCs w:val="22"/>
        </w:rPr>
        <w:t>A treatment guideline that fails to include an assessment of cost vs benefit will unnecessarily increase expenses in the system.</w:t>
      </w:r>
    </w:p>
    <w:p w:rsidR="00AD6197" w:rsidRPr="005E20CB" w:rsidRDefault="00AD6197" w:rsidP="00AD6197">
      <w:pPr>
        <w:rPr>
          <w:rFonts w:ascii="Arial" w:eastAsiaTheme="minorHAnsi" w:hAnsi="Arial" w:cs="Arial"/>
          <w:color w:val="auto"/>
          <w:sz w:val="22"/>
          <w:szCs w:val="22"/>
        </w:rPr>
      </w:pPr>
    </w:p>
    <w:p w:rsidR="00281AFD" w:rsidRPr="005E20CB" w:rsidRDefault="00281AFD" w:rsidP="00281AFD">
      <w:pPr>
        <w:rPr>
          <w:rFonts w:ascii="Arial" w:eastAsiaTheme="minorHAnsi" w:hAnsi="Arial" w:cs="Arial"/>
          <w:b/>
          <w:color w:val="auto"/>
          <w:sz w:val="22"/>
          <w:szCs w:val="22"/>
        </w:rPr>
      </w:pPr>
    </w:p>
    <w:p w:rsidR="000A27EF" w:rsidRPr="005E20CB" w:rsidRDefault="001D2D12" w:rsidP="005D462D">
      <w:pPr>
        <w:jc w:val="center"/>
        <w:rPr>
          <w:rFonts w:ascii="Arial" w:eastAsiaTheme="minorHAnsi" w:hAnsi="Arial" w:cs="Arial"/>
          <w:b/>
          <w:color w:val="auto"/>
          <w:sz w:val="22"/>
          <w:szCs w:val="22"/>
        </w:rPr>
      </w:pPr>
      <w:r w:rsidRPr="005E20CB">
        <w:rPr>
          <w:rFonts w:ascii="Arial" w:eastAsiaTheme="minorHAnsi" w:hAnsi="Arial" w:cs="Arial"/>
          <w:b/>
          <w:color w:val="auto"/>
          <w:sz w:val="22"/>
          <w:szCs w:val="22"/>
        </w:rPr>
        <w:t xml:space="preserve">Specific </w:t>
      </w:r>
      <w:r w:rsidR="000A27EF" w:rsidRPr="005E20CB">
        <w:rPr>
          <w:rFonts w:ascii="Arial" w:eastAsiaTheme="minorHAnsi" w:hAnsi="Arial" w:cs="Arial"/>
          <w:b/>
          <w:color w:val="auto"/>
          <w:sz w:val="22"/>
          <w:szCs w:val="22"/>
        </w:rPr>
        <w:t>Recommendations</w:t>
      </w:r>
    </w:p>
    <w:p w:rsidR="000A27EF" w:rsidRPr="005E20CB" w:rsidRDefault="000A27EF" w:rsidP="000A27EF">
      <w:pPr>
        <w:ind w:left="720"/>
        <w:rPr>
          <w:rFonts w:ascii="Arial" w:eastAsiaTheme="minorHAnsi" w:hAnsi="Arial" w:cs="Arial"/>
          <w:b/>
          <w:color w:val="auto"/>
          <w:sz w:val="22"/>
          <w:szCs w:val="22"/>
        </w:rPr>
      </w:pPr>
    </w:p>
    <w:p w:rsidR="00F8322A" w:rsidRPr="005E20CB" w:rsidRDefault="00F8322A" w:rsidP="000A27EF">
      <w:pPr>
        <w:ind w:left="720"/>
        <w:rPr>
          <w:rFonts w:ascii="Arial" w:eastAsiaTheme="minorHAnsi" w:hAnsi="Arial" w:cs="Arial"/>
          <w:b/>
          <w:color w:val="auto"/>
          <w:sz w:val="22"/>
          <w:szCs w:val="22"/>
        </w:rPr>
      </w:pPr>
    </w:p>
    <w:p w:rsidR="00CE1A70" w:rsidRPr="005E20CB" w:rsidRDefault="00CE1A70" w:rsidP="002E0A63">
      <w:pPr>
        <w:rPr>
          <w:rFonts w:ascii="Arial" w:hAnsi="Arial" w:cs="Arial"/>
          <w:b/>
          <w:color w:val="auto"/>
          <w:sz w:val="22"/>
          <w:szCs w:val="22"/>
        </w:rPr>
      </w:pPr>
      <w:r w:rsidRPr="005E20CB">
        <w:rPr>
          <w:rFonts w:ascii="Arial" w:hAnsi="Arial" w:cs="Arial"/>
          <w:b/>
          <w:color w:val="auto"/>
          <w:sz w:val="22"/>
          <w:szCs w:val="22"/>
        </w:rPr>
        <w:t>§ 9792.20</w:t>
      </w:r>
      <w:r w:rsidR="00B35CCD" w:rsidRPr="005E20CB">
        <w:rPr>
          <w:rFonts w:ascii="Arial" w:hAnsi="Arial" w:cs="Arial"/>
          <w:b/>
          <w:color w:val="auto"/>
          <w:sz w:val="22"/>
          <w:szCs w:val="22"/>
        </w:rPr>
        <w:t>(d)</w:t>
      </w:r>
      <w:r w:rsidRPr="005E20CB">
        <w:rPr>
          <w:rFonts w:ascii="Arial" w:hAnsi="Arial" w:cs="Arial"/>
          <w:b/>
          <w:color w:val="auto"/>
          <w:sz w:val="22"/>
          <w:szCs w:val="22"/>
        </w:rPr>
        <w:t xml:space="preserve"> Medical Treatment Utilization Schedule -- Definitions</w:t>
      </w:r>
    </w:p>
    <w:p w:rsidR="00EC44A0" w:rsidRPr="005E20CB" w:rsidRDefault="00B35CCD" w:rsidP="00EC44A0">
      <w:pPr>
        <w:rPr>
          <w:rFonts w:ascii="Arial" w:hAnsi="Arial" w:cs="Arial"/>
          <w:b/>
          <w:color w:val="auto"/>
          <w:sz w:val="22"/>
          <w:szCs w:val="22"/>
        </w:rPr>
      </w:pPr>
      <w:r w:rsidRPr="005E20CB">
        <w:rPr>
          <w:rFonts w:ascii="Arial" w:hAnsi="Arial" w:cs="Arial"/>
          <w:b/>
          <w:color w:val="auto"/>
          <w:sz w:val="22"/>
          <w:szCs w:val="22"/>
        </w:rPr>
        <w:t>§ 9792.21(b) Medical Treatment Utilization</w:t>
      </w:r>
    </w:p>
    <w:p w:rsidR="00B35CCD" w:rsidRPr="005E20CB" w:rsidRDefault="00B35CCD" w:rsidP="00EC44A0">
      <w:pPr>
        <w:rPr>
          <w:rFonts w:ascii="Arial" w:eastAsiaTheme="minorHAnsi" w:hAnsi="Arial" w:cs="Arial"/>
          <w:b/>
          <w:color w:val="943634" w:themeColor="accent2" w:themeShade="BF"/>
          <w:sz w:val="22"/>
          <w:szCs w:val="22"/>
        </w:rPr>
      </w:pPr>
    </w:p>
    <w:p w:rsidR="00EC44A0" w:rsidRPr="005E20CB" w:rsidRDefault="00EC44A0" w:rsidP="00EC44A0">
      <w:pPr>
        <w:rPr>
          <w:rFonts w:ascii="Arial" w:eastAsiaTheme="minorHAnsi" w:hAnsi="Arial" w:cs="Arial"/>
          <w:b/>
          <w:color w:val="auto"/>
          <w:sz w:val="22"/>
          <w:szCs w:val="22"/>
        </w:rPr>
      </w:pPr>
      <w:r w:rsidRPr="005E20CB">
        <w:rPr>
          <w:rFonts w:ascii="Arial" w:eastAsiaTheme="minorHAnsi" w:hAnsi="Arial" w:cs="Arial"/>
          <w:b/>
          <w:color w:val="auto"/>
          <w:sz w:val="22"/>
          <w:szCs w:val="22"/>
        </w:rPr>
        <w:t>Recommendation</w:t>
      </w:r>
    </w:p>
    <w:p w:rsidR="00EC44A0" w:rsidRPr="005E20CB" w:rsidRDefault="00EC44A0" w:rsidP="00EC44A0">
      <w:pPr>
        <w:ind w:left="720"/>
        <w:jc w:val="both"/>
        <w:rPr>
          <w:rFonts w:ascii="Arial" w:hAnsi="Arial" w:cs="Arial"/>
          <w:color w:val="auto"/>
          <w:sz w:val="22"/>
          <w:szCs w:val="22"/>
        </w:rPr>
      </w:pPr>
      <w:r w:rsidRPr="005E20CB">
        <w:rPr>
          <w:rFonts w:ascii="Arial" w:hAnsi="Arial" w:cs="Arial"/>
          <w:color w:val="auto"/>
          <w:sz w:val="22"/>
          <w:szCs w:val="22"/>
        </w:rPr>
        <w:t xml:space="preserve">“Evidence-Based Medicine (EBM)” means a systematic approach to making clinical decisions </w:t>
      </w:r>
      <w:r w:rsidRPr="005E20CB">
        <w:rPr>
          <w:rFonts w:ascii="Arial" w:hAnsi="Arial" w:cs="Arial"/>
          <w:strike/>
          <w:color w:val="943634" w:themeColor="accent2" w:themeShade="BF"/>
          <w:sz w:val="22"/>
          <w:szCs w:val="22"/>
        </w:rPr>
        <w:t>which allows the integration of</w:t>
      </w:r>
      <w:r w:rsidRPr="005E20CB">
        <w:rPr>
          <w:rFonts w:ascii="Arial" w:hAnsi="Arial" w:cs="Arial"/>
          <w:color w:val="943634" w:themeColor="accent2" w:themeShade="BF"/>
          <w:sz w:val="22"/>
          <w:szCs w:val="22"/>
        </w:rPr>
        <w:t xml:space="preserve"> </w:t>
      </w:r>
      <w:r w:rsidRPr="005E20CB">
        <w:rPr>
          <w:rFonts w:ascii="Arial" w:hAnsi="Arial" w:cs="Arial"/>
          <w:color w:val="943634" w:themeColor="accent2" w:themeShade="BF"/>
          <w:sz w:val="22"/>
          <w:szCs w:val="22"/>
          <w:u w:val="single"/>
        </w:rPr>
        <w:t>based on</w:t>
      </w:r>
      <w:r w:rsidRPr="005E20CB">
        <w:rPr>
          <w:rFonts w:ascii="Arial" w:hAnsi="Arial" w:cs="Arial"/>
          <w:i/>
          <w:color w:val="943634" w:themeColor="accent2" w:themeShade="BF"/>
          <w:sz w:val="22"/>
          <w:szCs w:val="22"/>
          <w:u w:val="single"/>
        </w:rPr>
        <w:t xml:space="preserve"> </w:t>
      </w:r>
      <w:r w:rsidRPr="005E20CB">
        <w:rPr>
          <w:rFonts w:ascii="Arial" w:hAnsi="Arial" w:cs="Arial"/>
          <w:color w:val="auto"/>
          <w:sz w:val="22"/>
          <w:szCs w:val="22"/>
        </w:rPr>
        <w:t>the best available research evidence</w:t>
      </w:r>
      <w:r w:rsidRPr="005E20CB">
        <w:rPr>
          <w:rFonts w:ascii="Arial" w:hAnsi="Arial" w:cs="Arial"/>
          <w:strike/>
          <w:color w:val="943634" w:themeColor="accent2" w:themeShade="BF"/>
          <w:sz w:val="22"/>
          <w:szCs w:val="22"/>
        </w:rPr>
        <w:t xml:space="preserve"> with clinical expertise and patient values</w:t>
      </w:r>
      <w:r w:rsidRPr="005E20CB">
        <w:rPr>
          <w:rFonts w:ascii="Arial" w:hAnsi="Arial" w:cs="Arial"/>
          <w:color w:val="auto"/>
          <w:sz w:val="22"/>
          <w:szCs w:val="22"/>
        </w:rPr>
        <w:t>.</w:t>
      </w:r>
      <w:r w:rsidRPr="005E20CB">
        <w:rPr>
          <w:rFonts w:ascii="Arial" w:hAnsi="Arial" w:cs="Arial"/>
          <w:color w:val="auto"/>
          <w:sz w:val="22"/>
          <w:szCs w:val="22"/>
          <w:u w:val="single"/>
        </w:rPr>
        <w:t xml:space="preserve"> </w:t>
      </w:r>
    </w:p>
    <w:p w:rsidR="00EC44A0" w:rsidRPr="005E20CB" w:rsidRDefault="00EC44A0" w:rsidP="00EC44A0">
      <w:pPr>
        <w:ind w:left="720"/>
        <w:rPr>
          <w:rFonts w:ascii="Arial" w:eastAsiaTheme="minorHAnsi" w:hAnsi="Arial" w:cs="Arial"/>
          <w:color w:val="auto"/>
          <w:sz w:val="22"/>
          <w:szCs w:val="22"/>
        </w:rPr>
      </w:pPr>
    </w:p>
    <w:p w:rsidR="00EC44A0" w:rsidRPr="005E20CB" w:rsidRDefault="00EC44A0" w:rsidP="00EC44A0">
      <w:pPr>
        <w:rPr>
          <w:rFonts w:ascii="Arial" w:eastAsiaTheme="minorHAnsi" w:hAnsi="Arial" w:cs="Arial"/>
          <w:i/>
          <w:color w:val="auto"/>
          <w:sz w:val="22"/>
          <w:szCs w:val="22"/>
        </w:rPr>
      </w:pPr>
      <w:r w:rsidRPr="005E20CB">
        <w:rPr>
          <w:rFonts w:ascii="Arial" w:eastAsiaTheme="minorHAnsi" w:hAnsi="Arial" w:cs="Arial"/>
          <w:b/>
          <w:color w:val="auto"/>
          <w:sz w:val="22"/>
          <w:szCs w:val="22"/>
        </w:rPr>
        <w:t>Discussion</w:t>
      </w:r>
      <w:r w:rsidRPr="005E20CB">
        <w:rPr>
          <w:rFonts w:ascii="Arial" w:eastAsiaTheme="minorHAnsi" w:hAnsi="Arial" w:cs="Arial"/>
          <w:b/>
          <w:color w:val="76923C" w:themeColor="accent3" w:themeShade="BF"/>
          <w:sz w:val="22"/>
          <w:szCs w:val="22"/>
        </w:rPr>
        <w:t xml:space="preserve"> </w:t>
      </w:r>
    </w:p>
    <w:p w:rsidR="00EC44A0" w:rsidRPr="005E20CB" w:rsidRDefault="00EC44A0" w:rsidP="00EC44A0">
      <w:pPr>
        <w:ind w:left="720"/>
        <w:rPr>
          <w:rFonts w:ascii="Arial" w:eastAsiaTheme="minorHAnsi" w:hAnsi="Arial" w:cs="Arial"/>
          <w:i/>
          <w:color w:val="943634" w:themeColor="accent2" w:themeShade="BF"/>
          <w:sz w:val="22"/>
          <w:szCs w:val="22"/>
        </w:rPr>
      </w:pPr>
      <w:r w:rsidRPr="005E20CB">
        <w:rPr>
          <w:rFonts w:ascii="Arial" w:eastAsiaTheme="minorHAnsi" w:hAnsi="Arial" w:cs="Arial"/>
          <w:i/>
          <w:color w:val="943634" w:themeColor="accent2" w:themeShade="BF"/>
          <w:sz w:val="22"/>
          <w:szCs w:val="22"/>
        </w:rPr>
        <w:t>The administrative director has not eliminated the use of clinical expertise and patient values, even though there is no definition of these factors in the proposed regulations and no possible useful definition in any scientific literature.  These subjective assessments are diametrically opposed to the statutory standards</w:t>
      </w:r>
      <w:r w:rsidR="00B35CCD" w:rsidRPr="005E20CB">
        <w:rPr>
          <w:rFonts w:ascii="Arial" w:eastAsiaTheme="minorHAnsi" w:hAnsi="Arial" w:cs="Arial"/>
          <w:i/>
          <w:color w:val="943634" w:themeColor="accent2" w:themeShade="BF"/>
          <w:sz w:val="22"/>
          <w:szCs w:val="22"/>
        </w:rPr>
        <w:t xml:space="preserve"> and the specific declaration within the proposed regulations that the MTUS is based on the principals of </w:t>
      </w:r>
      <w:r w:rsidR="00701B3E" w:rsidRPr="005E20CB">
        <w:rPr>
          <w:rFonts w:ascii="Arial" w:eastAsiaTheme="minorHAnsi" w:hAnsi="Arial" w:cs="Arial"/>
          <w:i/>
          <w:color w:val="943634" w:themeColor="accent2" w:themeShade="BF"/>
          <w:sz w:val="22"/>
          <w:szCs w:val="22"/>
        </w:rPr>
        <w:t>evidence-</w:t>
      </w:r>
      <w:r w:rsidR="00B35CCD" w:rsidRPr="005E20CB">
        <w:rPr>
          <w:rFonts w:ascii="Arial" w:eastAsiaTheme="minorHAnsi" w:hAnsi="Arial" w:cs="Arial"/>
          <w:i/>
          <w:color w:val="943634" w:themeColor="accent2" w:themeShade="BF"/>
          <w:sz w:val="22"/>
          <w:szCs w:val="22"/>
        </w:rPr>
        <w:t>based medicine.</w:t>
      </w:r>
      <w:r w:rsidRPr="005E20CB">
        <w:rPr>
          <w:rFonts w:ascii="Arial" w:eastAsiaTheme="minorHAnsi" w:hAnsi="Arial" w:cs="Arial"/>
          <w:i/>
          <w:color w:val="943634" w:themeColor="accent2" w:themeShade="BF"/>
          <w:sz w:val="22"/>
          <w:szCs w:val="22"/>
        </w:rPr>
        <w:t xml:space="preserve">  Evidence-based medicine does not merely allow the integration of the best available research evidence, it requires it.  </w:t>
      </w:r>
    </w:p>
    <w:p w:rsidR="00EC44A0" w:rsidRPr="005E20CB" w:rsidRDefault="00EC44A0" w:rsidP="00EC44A0">
      <w:pPr>
        <w:ind w:left="720"/>
        <w:rPr>
          <w:rFonts w:ascii="Arial" w:eastAsiaTheme="minorHAnsi" w:hAnsi="Arial" w:cs="Arial"/>
          <w:i/>
          <w:color w:val="943634" w:themeColor="accent2" w:themeShade="BF"/>
          <w:sz w:val="22"/>
          <w:szCs w:val="22"/>
        </w:rPr>
      </w:pPr>
    </w:p>
    <w:p w:rsidR="00EC44A0" w:rsidRPr="005E20CB" w:rsidRDefault="00EC44A0" w:rsidP="00EC44A0">
      <w:pPr>
        <w:ind w:left="720"/>
        <w:rPr>
          <w:rFonts w:ascii="Arial" w:eastAsiaTheme="minorHAnsi" w:hAnsi="Arial" w:cs="Arial"/>
          <w:i/>
          <w:color w:val="943634" w:themeColor="accent2" w:themeShade="BF"/>
          <w:sz w:val="22"/>
          <w:szCs w:val="22"/>
        </w:rPr>
      </w:pPr>
      <w:r w:rsidRPr="005E20CB">
        <w:rPr>
          <w:rFonts w:ascii="Arial" w:eastAsiaTheme="minorHAnsi" w:hAnsi="Arial" w:cs="Arial"/>
          <w:i/>
          <w:color w:val="943634" w:themeColor="accent2" w:themeShade="BF"/>
          <w:sz w:val="22"/>
          <w:szCs w:val="22"/>
        </w:rPr>
        <w:t>The proposed regulations are replete with requirements to ascertain the strongest medical evidence that the proposed treatment is based on scientific medical evidence.  Including the terms “clinical expertise and patient values” contradicts the language in section 9792.21(</w:t>
      </w:r>
      <w:r w:rsidR="006F23D3" w:rsidRPr="005E20CB">
        <w:rPr>
          <w:rFonts w:ascii="Arial" w:eastAsiaTheme="minorHAnsi" w:hAnsi="Arial" w:cs="Arial"/>
          <w:i/>
          <w:color w:val="943634" w:themeColor="accent2" w:themeShade="BF"/>
          <w:sz w:val="22"/>
          <w:szCs w:val="22"/>
        </w:rPr>
        <w:t>b</w:t>
      </w:r>
      <w:r w:rsidRPr="005E20CB">
        <w:rPr>
          <w:rFonts w:ascii="Arial" w:eastAsiaTheme="minorHAnsi" w:hAnsi="Arial" w:cs="Arial"/>
          <w:i/>
          <w:color w:val="943634" w:themeColor="accent2" w:themeShade="BF"/>
          <w:sz w:val="22"/>
          <w:szCs w:val="22"/>
        </w:rPr>
        <w:t xml:space="preserve">) which states: “EBM is a method of improving the quality of care by encouraging practices that work, and discouraging those that are ineffective or harmful. EBM asserts that intuition, unsystematic clinical experience, and pathophysiologic rationale are insufficient grounds for making clinical decisions.”  The AD has defined scientifically based and the strength of evidence in terms of a body of scientific medical literature used to support the recommended treatment. Clinical expertise and patient values are </w:t>
      </w:r>
      <w:r w:rsidR="006F23D3" w:rsidRPr="005E20CB">
        <w:rPr>
          <w:rFonts w:ascii="Arial" w:eastAsiaTheme="minorHAnsi" w:hAnsi="Arial" w:cs="Arial"/>
          <w:i/>
          <w:color w:val="943634" w:themeColor="accent2" w:themeShade="BF"/>
          <w:sz w:val="22"/>
          <w:szCs w:val="22"/>
        </w:rPr>
        <w:t>contrary to</w:t>
      </w:r>
      <w:r w:rsidRPr="005E20CB">
        <w:rPr>
          <w:rFonts w:ascii="Arial" w:eastAsiaTheme="minorHAnsi" w:hAnsi="Arial" w:cs="Arial"/>
          <w:i/>
          <w:color w:val="943634" w:themeColor="accent2" w:themeShade="BF"/>
          <w:sz w:val="22"/>
          <w:szCs w:val="22"/>
        </w:rPr>
        <w:t xml:space="preserve"> </w:t>
      </w:r>
      <w:r w:rsidR="000929A5" w:rsidRPr="005E20CB">
        <w:rPr>
          <w:rFonts w:ascii="Arial" w:eastAsiaTheme="minorHAnsi" w:hAnsi="Arial" w:cs="Arial"/>
          <w:i/>
          <w:color w:val="943634" w:themeColor="accent2" w:themeShade="BF"/>
          <w:sz w:val="22"/>
          <w:szCs w:val="22"/>
        </w:rPr>
        <w:t xml:space="preserve">these statutory standards </w:t>
      </w:r>
      <w:r w:rsidRPr="005E20CB">
        <w:rPr>
          <w:rFonts w:ascii="Arial" w:eastAsiaTheme="minorHAnsi" w:hAnsi="Arial" w:cs="Arial"/>
          <w:i/>
          <w:color w:val="943634" w:themeColor="accent2" w:themeShade="BF"/>
          <w:sz w:val="22"/>
          <w:szCs w:val="22"/>
        </w:rPr>
        <w:t xml:space="preserve">and cannot be imposed by regulation.  </w:t>
      </w:r>
      <w:proofErr w:type="gramStart"/>
      <w:r w:rsidRPr="005E20CB">
        <w:rPr>
          <w:rFonts w:ascii="Arial" w:eastAsiaTheme="minorHAnsi" w:hAnsi="Arial" w:cs="Arial"/>
          <w:i/>
          <w:color w:val="943634" w:themeColor="accent2" w:themeShade="BF"/>
          <w:sz w:val="22"/>
          <w:szCs w:val="22"/>
          <w:u w:val="single"/>
        </w:rPr>
        <w:t>Mendoza v WCAB</w:t>
      </w:r>
      <w:r w:rsidRPr="005E20CB">
        <w:rPr>
          <w:rFonts w:ascii="Arial" w:eastAsiaTheme="minorHAnsi" w:hAnsi="Arial" w:cs="Arial"/>
          <w:i/>
          <w:color w:val="943634" w:themeColor="accent2" w:themeShade="BF"/>
          <w:sz w:val="22"/>
          <w:szCs w:val="22"/>
        </w:rPr>
        <w:t xml:space="preserve"> (2010) </w:t>
      </w:r>
      <w:proofErr w:type="spellStart"/>
      <w:r w:rsidRPr="005E20CB">
        <w:rPr>
          <w:rFonts w:ascii="Arial" w:eastAsiaTheme="minorHAnsi" w:hAnsi="Arial" w:cs="Arial"/>
          <w:i/>
          <w:color w:val="943634" w:themeColor="accent2" w:themeShade="BF"/>
          <w:sz w:val="22"/>
          <w:szCs w:val="22"/>
        </w:rPr>
        <w:t>En</w:t>
      </w:r>
      <w:proofErr w:type="spellEnd"/>
      <w:r w:rsidRPr="005E20CB">
        <w:rPr>
          <w:rFonts w:ascii="Arial" w:eastAsiaTheme="minorHAnsi" w:hAnsi="Arial" w:cs="Arial"/>
          <w:i/>
          <w:color w:val="943634" w:themeColor="accent2" w:themeShade="BF"/>
          <w:sz w:val="22"/>
          <w:szCs w:val="22"/>
        </w:rPr>
        <w:t xml:space="preserve"> Banc Opinion 75 CCC 634.</w:t>
      </w:r>
      <w:proofErr w:type="gramEnd"/>
    </w:p>
    <w:p w:rsidR="00EC44A0" w:rsidRPr="005E20CB" w:rsidRDefault="00EC44A0" w:rsidP="00EC44A0">
      <w:pPr>
        <w:ind w:left="720"/>
        <w:rPr>
          <w:rFonts w:ascii="Arial" w:eastAsiaTheme="minorHAnsi" w:hAnsi="Arial" w:cs="Arial"/>
          <w:i/>
          <w:color w:val="943634" w:themeColor="accent2" w:themeShade="BF"/>
          <w:sz w:val="22"/>
          <w:szCs w:val="22"/>
        </w:rPr>
      </w:pPr>
      <w:r w:rsidRPr="005E20CB">
        <w:rPr>
          <w:rFonts w:ascii="Arial" w:eastAsiaTheme="minorHAnsi" w:hAnsi="Arial" w:cs="Arial"/>
          <w:i/>
          <w:color w:val="943634" w:themeColor="accent2" w:themeShade="BF"/>
          <w:sz w:val="22"/>
          <w:szCs w:val="22"/>
        </w:rPr>
        <w:t xml:space="preserve"> </w:t>
      </w:r>
    </w:p>
    <w:p w:rsidR="00A643A1" w:rsidRDefault="000929A5" w:rsidP="008A2A41">
      <w:pPr>
        <w:ind w:left="720"/>
        <w:rPr>
          <w:rFonts w:ascii="Arial" w:eastAsiaTheme="minorHAnsi" w:hAnsi="Arial" w:cs="Arial"/>
          <w:i/>
          <w:color w:val="943634" w:themeColor="accent2" w:themeShade="BF"/>
          <w:sz w:val="22"/>
          <w:szCs w:val="22"/>
        </w:rPr>
      </w:pPr>
      <w:r w:rsidRPr="005E20CB">
        <w:rPr>
          <w:rFonts w:ascii="Arial" w:eastAsiaTheme="minorHAnsi" w:hAnsi="Arial" w:cs="Arial"/>
          <w:i/>
          <w:color w:val="943634" w:themeColor="accent2" w:themeShade="BF"/>
          <w:sz w:val="22"/>
          <w:szCs w:val="22"/>
        </w:rPr>
        <w:t>Because t</w:t>
      </w:r>
      <w:r w:rsidR="00EC44A0" w:rsidRPr="005E20CB">
        <w:rPr>
          <w:rFonts w:ascii="Arial" w:eastAsiaTheme="minorHAnsi" w:hAnsi="Arial" w:cs="Arial"/>
          <w:i/>
          <w:color w:val="943634" w:themeColor="accent2" w:themeShade="BF"/>
          <w:sz w:val="22"/>
          <w:szCs w:val="22"/>
        </w:rPr>
        <w:t>he treatment schedule is used by injured workers</w:t>
      </w:r>
      <w:r w:rsidRPr="005E20CB">
        <w:rPr>
          <w:rFonts w:ascii="Arial" w:eastAsiaTheme="minorHAnsi" w:hAnsi="Arial" w:cs="Arial"/>
          <w:i/>
          <w:color w:val="943634" w:themeColor="accent2" w:themeShade="BF"/>
          <w:sz w:val="22"/>
          <w:szCs w:val="22"/>
        </w:rPr>
        <w:t>, treating physicians</w:t>
      </w:r>
      <w:r w:rsidR="00EC44A0" w:rsidRPr="005E20CB">
        <w:rPr>
          <w:rFonts w:ascii="Arial" w:eastAsiaTheme="minorHAnsi" w:hAnsi="Arial" w:cs="Arial"/>
          <w:i/>
          <w:color w:val="943634" w:themeColor="accent2" w:themeShade="BF"/>
          <w:sz w:val="22"/>
          <w:szCs w:val="22"/>
        </w:rPr>
        <w:t>, claims administrators, utilization review physicians, IMR, employers, applicants’ attorneys, defense attorneys, judges</w:t>
      </w:r>
      <w:r w:rsidRPr="005E20CB">
        <w:rPr>
          <w:rFonts w:ascii="Arial" w:eastAsiaTheme="minorHAnsi" w:hAnsi="Arial" w:cs="Arial"/>
          <w:i/>
          <w:color w:val="943634" w:themeColor="accent2" w:themeShade="BF"/>
          <w:sz w:val="22"/>
          <w:szCs w:val="22"/>
        </w:rPr>
        <w:t>,</w:t>
      </w:r>
      <w:r w:rsidR="00EC44A0" w:rsidRPr="005E20CB">
        <w:rPr>
          <w:rFonts w:ascii="Arial" w:eastAsiaTheme="minorHAnsi" w:hAnsi="Arial" w:cs="Arial"/>
          <w:i/>
          <w:color w:val="943634" w:themeColor="accent2" w:themeShade="BF"/>
          <w:sz w:val="22"/>
          <w:szCs w:val="22"/>
        </w:rPr>
        <w:t xml:space="preserve"> the WCAB and the reviewing courts</w:t>
      </w:r>
      <w:r w:rsidRPr="005E20CB">
        <w:rPr>
          <w:rFonts w:ascii="Arial" w:eastAsiaTheme="minorHAnsi" w:hAnsi="Arial" w:cs="Arial"/>
          <w:i/>
          <w:color w:val="943634" w:themeColor="accent2" w:themeShade="BF"/>
          <w:sz w:val="22"/>
          <w:szCs w:val="22"/>
        </w:rPr>
        <w:t xml:space="preserve">, the </w:t>
      </w:r>
      <w:r w:rsidR="00EC44A0" w:rsidRPr="005E20CB">
        <w:rPr>
          <w:rFonts w:ascii="Arial" w:eastAsiaTheme="minorHAnsi" w:hAnsi="Arial" w:cs="Arial"/>
          <w:i/>
          <w:color w:val="943634" w:themeColor="accent2" w:themeShade="BF"/>
          <w:sz w:val="22"/>
          <w:szCs w:val="22"/>
        </w:rPr>
        <w:t xml:space="preserve">treatment </w:t>
      </w:r>
      <w:r w:rsidRPr="005E20CB">
        <w:rPr>
          <w:rFonts w:ascii="Arial" w:eastAsiaTheme="minorHAnsi" w:hAnsi="Arial" w:cs="Arial"/>
          <w:i/>
          <w:color w:val="943634" w:themeColor="accent2" w:themeShade="BF"/>
          <w:sz w:val="22"/>
          <w:szCs w:val="22"/>
        </w:rPr>
        <w:t xml:space="preserve">guidelines must be </w:t>
      </w:r>
      <w:r w:rsidR="00EC44A0" w:rsidRPr="005E20CB">
        <w:rPr>
          <w:rFonts w:ascii="Arial" w:eastAsiaTheme="minorHAnsi" w:hAnsi="Arial" w:cs="Arial"/>
          <w:i/>
          <w:color w:val="943634" w:themeColor="accent2" w:themeShade="BF"/>
          <w:sz w:val="22"/>
          <w:szCs w:val="22"/>
        </w:rPr>
        <w:t>as straightforward as modern medical science can make t</w:t>
      </w:r>
      <w:r w:rsidR="002B0042" w:rsidRPr="005E20CB">
        <w:rPr>
          <w:rFonts w:ascii="Arial" w:eastAsiaTheme="minorHAnsi" w:hAnsi="Arial" w:cs="Arial"/>
          <w:i/>
          <w:color w:val="943634" w:themeColor="accent2" w:themeShade="BF"/>
          <w:sz w:val="22"/>
          <w:szCs w:val="22"/>
        </w:rPr>
        <w:t>hem</w:t>
      </w:r>
      <w:r w:rsidR="00EC44A0" w:rsidRPr="005E20CB">
        <w:rPr>
          <w:rFonts w:ascii="Arial" w:eastAsiaTheme="minorHAnsi" w:hAnsi="Arial" w:cs="Arial"/>
          <w:i/>
          <w:color w:val="943634" w:themeColor="accent2" w:themeShade="BF"/>
          <w:sz w:val="22"/>
          <w:szCs w:val="22"/>
        </w:rPr>
        <w:t xml:space="preserve">.  Treatment guidelines that provide clear direction, are well supported by scientific medical evidence, </w:t>
      </w:r>
    </w:p>
    <w:p w:rsidR="00EC44A0" w:rsidRPr="005E20CB" w:rsidRDefault="00EC44A0" w:rsidP="008A2A41">
      <w:pPr>
        <w:ind w:left="720"/>
        <w:rPr>
          <w:rFonts w:ascii="Arial" w:eastAsiaTheme="minorHAnsi" w:hAnsi="Arial" w:cs="Arial"/>
          <w:i/>
          <w:color w:val="943634" w:themeColor="accent2" w:themeShade="BF"/>
          <w:sz w:val="22"/>
          <w:szCs w:val="22"/>
        </w:rPr>
      </w:pPr>
      <w:proofErr w:type="gramStart"/>
      <w:r w:rsidRPr="005E20CB">
        <w:rPr>
          <w:rFonts w:ascii="Arial" w:eastAsiaTheme="minorHAnsi" w:hAnsi="Arial" w:cs="Arial"/>
          <w:i/>
          <w:color w:val="943634" w:themeColor="accent2" w:themeShade="BF"/>
          <w:sz w:val="22"/>
          <w:szCs w:val="22"/>
        </w:rPr>
        <w:lastRenderedPageBreak/>
        <w:t>and</w:t>
      </w:r>
      <w:proofErr w:type="gramEnd"/>
      <w:r w:rsidRPr="005E20CB">
        <w:rPr>
          <w:rFonts w:ascii="Arial" w:eastAsiaTheme="minorHAnsi" w:hAnsi="Arial" w:cs="Arial"/>
          <w:i/>
          <w:color w:val="943634" w:themeColor="accent2" w:themeShade="BF"/>
          <w:sz w:val="22"/>
          <w:szCs w:val="22"/>
        </w:rPr>
        <w:t xml:space="preserve"> are based on graded peer reviews are essential for the utilization review system to function as intended. Conversely, a treatment schedule that allows “clinical expertise and patient values” to influence the evaluation of treatment is in conflict with what the Legislature provided by statute.</w:t>
      </w:r>
      <w:r w:rsidR="00924DAF" w:rsidRPr="005E20CB">
        <w:rPr>
          <w:rFonts w:ascii="Arial" w:eastAsiaTheme="minorHAnsi" w:hAnsi="Arial" w:cs="Arial"/>
          <w:i/>
          <w:color w:val="943634" w:themeColor="accent2" w:themeShade="BF"/>
          <w:sz w:val="22"/>
          <w:szCs w:val="22"/>
        </w:rPr>
        <w:t xml:space="preserve"> </w:t>
      </w:r>
      <w:r w:rsidRPr="005E20CB">
        <w:rPr>
          <w:rFonts w:ascii="Arial" w:eastAsiaTheme="minorHAnsi" w:hAnsi="Arial" w:cs="Arial"/>
          <w:i/>
          <w:color w:val="943634" w:themeColor="accent2" w:themeShade="BF"/>
          <w:sz w:val="22"/>
          <w:szCs w:val="22"/>
        </w:rPr>
        <w:t xml:space="preserve">The Institute recommends eliminating </w:t>
      </w:r>
      <w:r w:rsidR="008A2A41" w:rsidRPr="005E20CB">
        <w:rPr>
          <w:rFonts w:ascii="Arial" w:eastAsiaTheme="minorHAnsi" w:hAnsi="Arial" w:cs="Arial"/>
          <w:i/>
          <w:color w:val="943634" w:themeColor="accent2" w:themeShade="BF"/>
          <w:sz w:val="22"/>
          <w:szCs w:val="22"/>
        </w:rPr>
        <w:t xml:space="preserve">these </w:t>
      </w:r>
      <w:r w:rsidRPr="005E20CB">
        <w:rPr>
          <w:rFonts w:ascii="Arial" w:eastAsiaTheme="minorHAnsi" w:hAnsi="Arial" w:cs="Arial"/>
          <w:i/>
          <w:color w:val="943634" w:themeColor="accent2" w:themeShade="BF"/>
          <w:sz w:val="22"/>
          <w:szCs w:val="22"/>
        </w:rPr>
        <w:t>subjective, unscientific elements</w:t>
      </w:r>
      <w:r w:rsidR="00307DD3" w:rsidRPr="005E20CB">
        <w:rPr>
          <w:rFonts w:ascii="Arial" w:eastAsiaTheme="minorHAnsi" w:hAnsi="Arial" w:cs="Arial"/>
          <w:i/>
          <w:color w:val="943634" w:themeColor="accent2" w:themeShade="BF"/>
          <w:sz w:val="22"/>
          <w:szCs w:val="22"/>
        </w:rPr>
        <w:t xml:space="preserve">.  </w:t>
      </w:r>
    </w:p>
    <w:p w:rsidR="00924DAF" w:rsidRPr="005E20CB" w:rsidRDefault="00924DAF" w:rsidP="008A2A41">
      <w:pPr>
        <w:ind w:left="720"/>
        <w:rPr>
          <w:rFonts w:ascii="Arial" w:eastAsiaTheme="minorHAnsi" w:hAnsi="Arial" w:cs="Arial"/>
          <w:i/>
          <w:color w:val="943634" w:themeColor="accent2" w:themeShade="BF"/>
          <w:sz w:val="22"/>
          <w:szCs w:val="22"/>
        </w:rPr>
      </w:pPr>
    </w:p>
    <w:p w:rsidR="00924DAF" w:rsidRPr="005E20CB" w:rsidRDefault="00924DAF" w:rsidP="008A2A41">
      <w:pPr>
        <w:ind w:left="720"/>
        <w:rPr>
          <w:rFonts w:ascii="Arial" w:eastAsiaTheme="minorHAnsi" w:hAnsi="Arial" w:cs="Arial"/>
          <w:i/>
          <w:color w:val="943634" w:themeColor="accent2" w:themeShade="BF"/>
          <w:sz w:val="22"/>
          <w:szCs w:val="22"/>
        </w:rPr>
      </w:pPr>
      <w:r w:rsidRPr="005E20CB">
        <w:rPr>
          <w:rFonts w:ascii="Arial" w:eastAsiaTheme="minorHAnsi" w:hAnsi="Arial" w:cs="Arial"/>
          <w:i/>
          <w:color w:val="943634" w:themeColor="accent2" w:themeShade="BF"/>
          <w:sz w:val="22"/>
          <w:szCs w:val="22"/>
        </w:rPr>
        <w:t>The Institute strongly supports the additional revisions and clarifications to § 9792.21.</w:t>
      </w:r>
    </w:p>
    <w:p w:rsidR="00EB53EF" w:rsidRPr="005E20CB" w:rsidRDefault="00EB53EF" w:rsidP="005E20CB">
      <w:pPr>
        <w:rPr>
          <w:rFonts w:ascii="Arial" w:eastAsiaTheme="minorHAnsi" w:hAnsi="Arial" w:cs="Arial"/>
          <w:color w:val="943634" w:themeColor="accent2" w:themeShade="BF"/>
          <w:sz w:val="22"/>
          <w:szCs w:val="22"/>
        </w:rPr>
      </w:pPr>
    </w:p>
    <w:p w:rsidR="005E20CB" w:rsidRPr="005E20CB" w:rsidRDefault="005E20CB" w:rsidP="005E20CB">
      <w:pPr>
        <w:rPr>
          <w:rFonts w:ascii="Arial" w:eastAsiaTheme="minorHAnsi" w:hAnsi="Arial" w:cs="Arial"/>
          <w:color w:val="943634" w:themeColor="accent2" w:themeShade="BF"/>
          <w:sz w:val="22"/>
          <w:szCs w:val="22"/>
        </w:rPr>
      </w:pPr>
    </w:p>
    <w:p w:rsidR="005E20CB" w:rsidRPr="005E20CB" w:rsidRDefault="005E20CB" w:rsidP="005E20CB">
      <w:pPr>
        <w:rPr>
          <w:rFonts w:ascii="Arial" w:hAnsi="Arial" w:cs="Arial"/>
          <w:b/>
          <w:color w:val="auto"/>
          <w:sz w:val="22"/>
          <w:szCs w:val="22"/>
        </w:rPr>
      </w:pPr>
      <w:r w:rsidRPr="005E20CB">
        <w:rPr>
          <w:rFonts w:ascii="Arial" w:hAnsi="Arial" w:cs="Arial"/>
          <w:b/>
          <w:color w:val="auto"/>
          <w:sz w:val="22"/>
          <w:szCs w:val="22"/>
        </w:rPr>
        <w:t>§ 9792.20 Medical Treatment Utilization Schedule -- Definitions</w:t>
      </w:r>
    </w:p>
    <w:p w:rsidR="005E20CB" w:rsidRPr="005E20CB" w:rsidRDefault="005E20CB" w:rsidP="005E20CB">
      <w:pPr>
        <w:rPr>
          <w:rFonts w:ascii="Arial" w:eastAsiaTheme="minorHAnsi" w:hAnsi="Arial" w:cs="Arial"/>
          <w:color w:val="943634" w:themeColor="accent2" w:themeShade="BF"/>
          <w:sz w:val="22"/>
          <w:szCs w:val="22"/>
        </w:rPr>
      </w:pPr>
    </w:p>
    <w:p w:rsidR="00F523E1" w:rsidRPr="005E20CB" w:rsidRDefault="00F523E1" w:rsidP="00F523E1">
      <w:pPr>
        <w:rPr>
          <w:rFonts w:ascii="Arial" w:hAnsi="Arial" w:cs="Arial"/>
          <w:sz w:val="22"/>
          <w:szCs w:val="22"/>
        </w:rPr>
      </w:pPr>
      <w:r w:rsidRPr="005E20CB">
        <w:rPr>
          <w:rFonts w:ascii="Arial" w:hAnsi="Arial" w:cs="Arial"/>
          <w:b/>
          <w:sz w:val="22"/>
          <w:szCs w:val="22"/>
        </w:rPr>
        <w:t xml:space="preserve">Recommendation </w:t>
      </w:r>
    </w:p>
    <w:p w:rsidR="00F523E1" w:rsidRPr="005E20CB" w:rsidRDefault="00F523E1" w:rsidP="00F523E1">
      <w:pPr>
        <w:rPr>
          <w:rFonts w:ascii="Arial" w:hAnsi="Arial" w:cs="Arial"/>
          <w:sz w:val="22"/>
          <w:szCs w:val="22"/>
        </w:rPr>
      </w:pPr>
      <w:r w:rsidRPr="005E20CB">
        <w:rPr>
          <w:rFonts w:ascii="Arial" w:hAnsi="Arial" w:cs="Arial"/>
          <w:sz w:val="22"/>
          <w:szCs w:val="22"/>
        </w:rPr>
        <w:t>(</w:t>
      </w:r>
      <w:proofErr w:type="spellStart"/>
      <w:proofErr w:type="gramStart"/>
      <w:r w:rsidRPr="005E20CB">
        <w:rPr>
          <w:rFonts w:ascii="Arial" w:hAnsi="Arial" w:cs="Arial"/>
          <w:i/>
          <w:strike/>
          <w:sz w:val="22"/>
          <w:szCs w:val="22"/>
        </w:rPr>
        <w:t>c</w:t>
      </w:r>
      <w:r w:rsidRPr="005E20CB">
        <w:rPr>
          <w:rFonts w:ascii="Arial" w:hAnsi="Arial" w:cs="Arial"/>
          <w:i/>
          <w:sz w:val="22"/>
          <w:szCs w:val="22"/>
          <w:u w:val="single"/>
        </w:rPr>
        <w:t>b</w:t>
      </w:r>
      <w:proofErr w:type="spellEnd"/>
      <w:proofErr w:type="gramEnd"/>
      <w:r w:rsidRPr="005E20CB">
        <w:rPr>
          <w:rFonts w:ascii="Arial" w:hAnsi="Arial" w:cs="Arial"/>
          <w:sz w:val="22"/>
          <w:szCs w:val="22"/>
        </w:rPr>
        <w:t xml:space="preserve">) “Chronic pain” means any pain </w:t>
      </w:r>
      <w:r w:rsidR="005E20CB" w:rsidRPr="005E20CB">
        <w:rPr>
          <w:rFonts w:ascii="Arial" w:eastAsiaTheme="minorHAnsi" w:hAnsi="Arial" w:cs="Arial"/>
          <w:strike/>
          <w:color w:val="943634" w:themeColor="accent2" w:themeShade="BF"/>
          <w:sz w:val="22"/>
          <w:szCs w:val="22"/>
        </w:rPr>
        <w:t>lasting three or more months from the initial onset of pain</w:t>
      </w:r>
      <w:r w:rsidR="005E20CB">
        <w:rPr>
          <w:rFonts w:ascii="Arial" w:hAnsi="Arial" w:cs="Arial"/>
          <w:sz w:val="22"/>
          <w:szCs w:val="22"/>
        </w:rPr>
        <w:t xml:space="preserve"> </w:t>
      </w:r>
      <w:r w:rsidRPr="005E20CB">
        <w:rPr>
          <w:rFonts w:ascii="Arial" w:hAnsi="Arial" w:cs="Arial"/>
          <w:sz w:val="22"/>
          <w:szCs w:val="22"/>
        </w:rPr>
        <w:t>of more than 3 month's duration</w:t>
      </w:r>
      <w:r w:rsidRPr="005E20CB">
        <w:rPr>
          <w:rFonts w:ascii="Arial" w:eastAsiaTheme="minorHAnsi" w:hAnsi="Arial" w:cs="Arial"/>
          <w:i/>
          <w:color w:val="943634" w:themeColor="accent2" w:themeShade="BF"/>
          <w:sz w:val="22"/>
          <w:szCs w:val="22"/>
        </w:rPr>
        <w:t xml:space="preserve"> </w:t>
      </w:r>
      <w:r w:rsidR="005B1B78" w:rsidRPr="005B1B78">
        <w:rPr>
          <w:rFonts w:ascii="Arial" w:eastAsiaTheme="minorHAnsi" w:hAnsi="Arial" w:cs="Arial"/>
          <w:color w:val="943634" w:themeColor="accent2" w:themeShade="BF"/>
          <w:sz w:val="22"/>
          <w:szCs w:val="22"/>
        </w:rPr>
        <w:t xml:space="preserve">from the initial onset </w:t>
      </w:r>
      <w:r w:rsidRPr="005E20CB">
        <w:rPr>
          <w:rFonts w:ascii="Arial" w:eastAsiaTheme="minorHAnsi" w:hAnsi="Arial" w:cs="Arial"/>
          <w:color w:val="943634" w:themeColor="accent2" w:themeShade="BF"/>
          <w:sz w:val="22"/>
          <w:szCs w:val="22"/>
        </w:rPr>
        <w:t>that persists beyond the expected date of healing</w:t>
      </w:r>
      <w:r w:rsidRPr="005E20CB">
        <w:rPr>
          <w:rFonts w:ascii="Arial" w:hAnsi="Arial" w:cs="Arial"/>
          <w:sz w:val="22"/>
          <w:szCs w:val="22"/>
        </w:rPr>
        <w:t>.</w:t>
      </w:r>
    </w:p>
    <w:p w:rsidR="00F523E1" w:rsidRPr="005E20CB" w:rsidRDefault="00F523E1" w:rsidP="00F523E1">
      <w:pPr>
        <w:autoSpaceDE w:val="0"/>
        <w:autoSpaceDN w:val="0"/>
        <w:adjustRightInd w:val="0"/>
        <w:jc w:val="both"/>
        <w:rPr>
          <w:rFonts w:cs="Galliard-Roman"/>
          <w:sz w:val="22"/>
          <w:szCs w:val="22"/>
        </w:rPr>
      </w:pPr>
    </w:p>
    <w:p w:rsidR="00F523E1" w:rsidRPr="005E20CB" w:rsidRDefault="00F523E1" w:rsidP="00F523E1">
      <w:pPr>
        <w:autoSpaceDE w:val="0"/>
        <w:autoSpaceDN w:val="0"/>
        <w:adjustRightInd w:val="0"/>
        <w:jc w:val="both"/>
        <w:rPr>
          <w:rFonts w:ascii="Arial" w:hAnsi="Arial" w:cs="Arial"/>
          <w:sz w:val="22"/>
          <w:szCs w:val="22"/>
        </w:rPr>
      </w:pPr>
      <w:r w:rsidRPr="005E20CB">
        <w:rPr>
          <w:rFonts w:ascii="Arial" w:hAnsi="Arial" w:cs="Arial"/>
          <w:b/>
          <w:sz w:val="22"/>
          <w:szCs w:val="22"/>
        </w:rPr>
        <w:t xml:space="preserve">Discussion </w:t>
      </w:r>
    </w:p>
    <w:p w:rsidR="00F523E1" w:rsidRPr="005E20CB" w:rsidRDefault="00F523E1" w:rsidP="00F523E1">
      <w:pPr>
        <w:ind w:left="720"/>
        <w:rPr>
          <w:rFonts w:ascii="Arial" w:eastAsiaTheme="minorHAnsi" w:hAnsi="Arial" w:cs="Arial"/>
          <w:i/>
          <w:color w:val="943634" w:themeColor="accent2" w:themeShade="BF"/>
          <w:sz w:val="22"/>
          <w:szCs w:val="22"/>
        </w:rPr>
      </w:pPr>
      <w:r w:rsidRPr="005E20CB">
        <w:rPr>
          <w:rFonts w:ascii="Arial" w:eastAsiaTheme="minorHAnsi" w:hAnsi="Arial" w:cs="Arial"/>
          <w:i/>
          <w:color w:val="943634" w:themeColor="accent2" w:themeShade="BF"/>
          <w:sz w:val="22"/>
          <w:szCs w:val="22"/>
        </w:rPr>
        <w:t xml:space="preserve">During the course of the development of these regulations, the </w:t>
      </w:r>
      <w:r w:rsidR="00C9514A">
        <w:rPr>
          <w:rFonts w:ascii="Arial" w:eastAsiaTheme="minorHAnsi" w:hAnsi="Arial" w:cs="Arial"/>
          <w:i/>
          <w:color w:val="943634" w:themeColor="accent2" w:themeShade="BF"/>
          <w:sz w:val="22"/>
          <w:szCs w:val="22"/>
        </w:rPr>
        <w:t xml:space="preserve">division and the </w:t>
      </w:r>
      <w:r w:rsidRPr="005E20CB">
        <w:rPr>
          <w:rFonts w:ascii="Arial" w:eastAsiaTheme="minorHAnsi" w:hAnsi="Arial" w:cs="Arial"/>
          <w:i/>
          <w:color w:val="943634" w:themeColor="accent2" w:themeShade="BF"/>
          <w:sz w:val="22"/>
          <w:szCs w:val="22"/>
        </w:rPr>
        <w:t>community ha</w:t>
      </w:r>
      <w:r w:rsidR="00C9514A">
        <w:rPr>
          <w:rFonts w:ascii="Arial" w:eastAsiaTheme="minorHAnsi" w:hAnsi="Arial" w:cs="Arial"/>
          <w:i/>
          <w:color w:val="943634" w:themeColor="accent2" w:themeShade="BF"/>
          <w:sz w:val="22"/>
          <w:szCs w:val="22"/>
        </w:rPr>
        <w:t>ve</w:t>
      </w:r>
      <w:r w:rsidRPr="005E20CB">
        <w:rPr>
          <w:rFonts w:ascii="Arial" w:eastAsiaTheme="minorHAnsi" w:hAnsi="Arial" w:cs="Arial"/>
          <w:i/>
          <w:color w:val="943634" w:themeColor="accent2" w:themeShade="BF"/>
          <w:sz w:val="22"/>
          <w:szCs w:val="22"/>
        </w:rPr>
        <w:t xml:space="preserve"> debated the pros and cons of a definition based on a 3 month duration or pain beyond the expected period for healing.  The definition of chronic pain must match the medical evidence.  Most medical research (on which guidelines for chronic pain must be based), use a three month duration to define chronic pain.  But some guidelines use the latter definition and both definitions have advantages and deficits.  </w:t>
      </w:r>
    </w:p>
    <w:p w:rsidR="00F523E1" w:rsidRPr="005E20CB" w:rsidRDefault="00F523E1" w:rsidP="00F523E1">
      <w:pPr>
        <w:ind w:left="720"/>
        <w:rPr>
          <w:rFonts w:ascii="Arial" w:eastAsiaTheme="minorHAnsi" w:hAnsi="Arial" w:cs="Arial"/>
          <w:i/>
          <w:color w:val="943634" w:themeColor="accent2" w:themeShade="BF"/>
          <w:sz w:val="22"/>
          <w:szCs w:val="22"/>
        </w:rPr>
      </w:pPr>
    </w:p>
    <w:p w:rsidR="00F523E1" w:rsidRPr="005E20CB" w:rsidRDefault="00F523E1" w:rsidP="00F523E1">
      <w:pPr>
        <w:ind w:left="720"/>
        <w:rPr>
          <w:rFonts w:ascii="Arial" w:eastAsiaTheme="minorHAnsi" w:hAnsi="Arial" w:cs="Arial"/>
          <w:i/>
          <w:color w:val="943634" w:themeColor="accent2" w:themeShade="BF"/>
          <w:sz w:val="22"/>
          <w:szCs w:val="22"/>
        </w:rPr>
      </w:pPr>
      <w:r w:rsidRPr="005E20CB">
        <w:rPr>
          <w:rFonts w:ascii="Arial" w:eastAsiaTheme="minorHAnsi" w:hAnsi="Arial" w:cs="Arial"/>
          <w:i/>
          <w:color w:val="943634" w:themeColor="accent2" w:themeShade="BF"/>
          <w:sz w:val="22"/>
          <w:szCs w:val="22"/>
        </w:rPr>
        <w:t xml:space="preserve">The use of a specific period of time will eliminate potential litigation over what constitutes “the anticipated time of healing.”  Including the expected period for healing as a modifier of the 3 month standard will clarify that chronic pain extends </w:t>
      </w:r>
      <w:r w:rsidR="00C9514A">
        <w:rPr>
          <w:rFonts w:ascii="Arial" w:eastAsiaTheme="minorHAnsi" w:hAnsi="Arial" w:cs="Arial"/>
          <w:i/>
          <w:color w:val="943634" w:themeColor="accent2" w:themeShade="BF"/>
          <w:sz w:val="22"/>
          <w:szCs w:val="22"/>
        </w:rPr>
        <w:t xml:space="preserve">beyond </w:t>
      </w:r>
      <w:r w:rsidRPr="005E20CB">
        <w:rPr>
          <w:rFonts w:ascii="Arial" w:eastAsiaTheme="minorHAnsi" w:hAnsi="Arial" w:cs="Arial"/>
          <w:i/>
          <w:color w:val="943634" w:themeColor="accent2" w:themeShade="BF"/>
          <w:sz w:val="22"/>
          <w:szCs w:val="22"/>
        </w:rPr>
        <w:t xml:space="preserve">what the medical evidence suggests.  Pain </w:t>
      </w:r>
      <w:r w:rsidR="00C9514A">
        <w:rPr>
          <w:rFonts w:ascii="Arial" w:eastAsiaTheme="minorHAnsi" w:hAnsi="Arial" w:cs="Arial"/>
          <w:i/>
          <w:color w:val="943634" w:themeColor="accent2" w:themeShade="BF"/>
          <w:sz w:val="22"/>
          <w:szCs w:val="22"/>
        </w:rPr>
        <w:t xml:space="preserve">that </w:t>
      </w:r>
      <w:r w:rsidRPr="005E20CB">
        <w:rPr>
          <w:rFonts w:ascii="Arial" w:eastAsiaTheme="minorHAnsi" w:hAnsi="Arial" w:cs="Arial"/>
          <w:i/>
          <w:color w:val="943634" w:themeColor="accent2" w:themeShade="BF"/>
          <w:sz w:val="22"/>
          <w:szCs w:val="22"/>
        </w:rPr>
        <w:t xml:space="preserve">exists beyond 3 months but within the expected period for healing would not be considered </w:t>
      </w:r>
      <w:r w:rsidR="00C9514A">
        <w:rPr>
          <w:rFonts w:ascii="Arial" w:eastAsiaTheme="minorHAnsi" w:hAnsi="Arial" w:cs="Arial"/>
          <w:i/>
          <w:color w:val="943634" w:themeColor="accent2" w:themeShade="BF"/>
          <w:sz w:val="22"/>
          <w:szCs w:val="22"/>
        </w:rPr>
        <w:t>‘</w:t>
      </w:r>
      <w:r w:rsidRPr="005E20CB">
        <w:rPr>
          <w:rFonts w:ascii="Arial" w:eastAsiaTheme="minorHAnsi" w:hAnsi="Arial" w:cs="Arial"/>
          <w:i/>
          <w:color w:val="943634" w:themeColor="accent2" w:themeShade="BF"/>
          <w:sz w:val="22"/>
          <w:szCs w:val="22"/>
        </w:rPr>
        <w:t>chronic pain</w:t>
      </w:r>
      <w:r w:rsidR="00C9514A">
        <w:rPr>
          <w:rFonts w:ascii="Arial" w:eastAsiaTheme="minorHAnsi" w:hAnsi="Arial" w:cs="Arial"/>
          <w:i/>
          <w:color w:val="943634" w:themeColor="accent2" w:themeShade="BF"/>
          <w:sz w:val="22"/>
          <w:szCs w:val="22"/>
        </w:rPr>
        <w:t>’</w:t>
      </w:r>
      <w:r w:rsidRPr="005E20CB">
        <w:rPr>
          <w:rFonts w:ascii="Arial" w:eastAsiaTheme="minorHAnsi" w:hAnsi="Arial" w:cs="Arial"/>
          <w:i/>
          <w:color w:val="943634" w:themeColor="accent2" w:themeShade="BF"/>
          <w:sz w:val="22"/>
          <w:szCs w:val="22"/>
        </w:rPr>
        <w:t xml:space="preserve"> under </w:t>
      </w:r>
      <w:r w:rsidR="00C9514A">
        <w:rPr>
          <w:rFonts w:ascii="Arial" w:eastAsiaTheme="minorHAnsi" w:hAnsi="Arial" w:cs="Arial"/>
          <w:i/>
          <w:color w:val="943634" w:themeColor="accent2" w:themeShade="BF"/>
          <w:sz w:val="22"/>
          <w:szCs w:val="22"/>
        </w:rPr>
        <w:t>this definition</w:t>
      </w:r>
      <w:r w:rsidRPr="005E20CB">
        <w:rPr>
          <w:rFonts w:ascii="Arial" w:eastAsiaTheme="minorHAnsi" w:hAnsi="Arial" w:cs="Arial"/>
          <w:i/>
          <w:color w:val="943634" w:themeColor="accent2" w:themeShade="BF"/>
          <w:sz w:val="22"/>
          <w:szCs w:val="22"/>
        </w:rPr>
        <w:t>.</w:t>
      </w:r>
    </w:p>
    <w:p w:rsidR="000A27EF" w:rsidRPr="005E20CB" w:rsidRDefault="000A27EF" w:rsidP="00F523E1">
      <w:pPr>
        <w:rPr>
          <w:rFonts w:ascii="Arial" w:eastAsiaTheme="minorHAnsi" w:hAnsi="Arial" w:cs="Arial"/>
          <w:color w:val="auto"/>
          <w:sz w:val="22"/>
          <w:szCs w:val="22"/>
        </w:rPr>
      </w:pPr>
    </w:p>
    <w:p w:rsidR="00F523E1" w:rsidRPr="005E20CB" w:rsidRDefault="00F523E1" w:rsidP="000A27EF">
      <w:pPr>
        <w:ind w:left="720"/>
        <w:rPr>
          <w:rFonts w:ascii="Arial" w:eastAsiaTheme="minorHAnsi" w:hAnsi="Arial" w:cs="Arial"/>
          <w:color w:val="auto"/>
          <w:sz w:val="22"/>
          <w:szCs w:val="22"/>
        </w:rPr>
      </w:pPr>
    </w:p>
    <w:p w:rsidR="00E14191" w:rsidRPr="005E20CB" w:rsidRDefault="001D2D12" w:rsidP="001D2D12">
      <w:pPr>
        <w:jc w:val="both"/>
        <w:rPr>
          <w:rFonts w:ascii="Arial" w:hAnsi="Arial" w:cs="Arial"/>
          <w:color w:val="auto"/>
          <w:sz w:val="22"/>
          <w:szCs w:val="22"/>
        </w:rPr>
      </w:pPr>
      <w:r w:rsidRPr="005E20CB">
        <w:rPr>
          <w:rFonts w:ascii="Arial" w:hAnsi="Arial" w:cs="Arial"/>
          <w:b/>
          <w:color w:val="auto"/>
          <w:sz w:val="22"/>
          <w:szCs w:val="22"/>
        </w:rPr>
        <w:t>§ 9792.21.</w:t>
      </w:r>
      <w:r w:rsidR="006F3941" w:rsidRPr="005E20CB">
        <w:rPr>
          <w:rFonts w:ascii="Arial" w:hAnsi="Arial" w:cs="Arial"/>
          <w:b/>
          <w:color w:val="auto"/>
          <w:sz w:val="22"/>
          <w:szCs w:val="22"/>
        </w:rPr>
        <w:t>1</w:t>
      </w:r>
      <w:r w:rsidRPr="005E20CB">
        <w:rPr>
          <w:rFonts w:ascii="Arial" w:hAnsi="Arial" w:cs="Arial"/>
          <w:b/>
          <w:color w:val="auto"/>
          <w:sz w:val="22"/>
          <w:szCs w:val="22"/>
        </w:rPr>
        <w:t xml:space="preserve"> Medical </w:t>
      </w:r>
      <w:r w:rsidR="00E14191" w:rsidRPr="005E20CB">
        <w:rPr>
          <w:rFonts w:ascii="Arial" w:hAnsi="Arial" w:cs="Arial"/>
          <w:b/>
          <w:color w:val="auto"/>
          <w:sz w:val="22"/>
          <w:szCs w:val="22"/>
        </w:rPr>
        <w:t xml:space="preserve">Evidence Search Sequence </w:t>
      </w:r>
    </w:p>
    <w:p w:rsidR="001D2D12" w:rsidRPr="005E20CB" w:rsidRDefault="001D2D12" w:rsidP="001D2D12">
      <w:pPr>
        <w:jc w:val="both"/>
        <w:rPr>
          <w:rFonts w:ascii="Arial" w:hAnsi="Arial" w:cs="Arial"/>
          <w:b/>
          <w:color w:val="auto"/>
          <w:sz w:val="22"/>
          <w:szCs w:val="22"/>
        </w:rPr>
      </w:pPr>
      <w:r w:rsidRPr="005E20CB">
        <w:rPr>
          <w:rFonts w:ascii="Arial" w:hAnsi="Arial" w:cs="Arial"/>
          <w:b/>
          <w:color w:val="auto"/>
          <w:sz w:val="22"/>
          <w:szCs w:val="22"/>
        </w:rPr>
        <w:t xml:space="preserve"> </w:t>
      </w:r>
    </w:p>
    <w:p w:rsidR="00670202" w:rsidRPr="005E20CB" w:rsidRDefault="00E14191" w:rsidP="0038347D">
      <w:pPr>
        <w:rPr>
          <w:rFonts w:ascii="Arial" w:eastAsiaTheme="minorHAnsi" w:hAnsi="Arial" w:cs="Arial"/>
          <w:color w:val="auto"/>
          <w:sz w:val="22"/>
          <w:szCs w:val="22"/>
        </w:rPr>
      </w:pPr>
      <w:r w:rsidRPr="005E20CB">
        <w:rPr>
          <w:rFonts w:ascii="Arial" w:eastAsiaTheme="minorHAnsi" w:hAnsi="Arial" w:cs="Arial"/>
          <w:b/>
          <w:color w:val="auto"/>
          <w:sz w:val="22"/>
          <w:szCs w:val="22"/>
        </w:rPr>
        <w:t>Recommendation</w:t>
      </w:r>
    </w:p>
    <w:p w:rsidR="00E14191" w:rsidRPr="005E20CB" w:rsidRDefault="00E14191" w:rsidP="00670202">
      <w:pPr>
        <w:ind w:left="720"/>
        <w:rPr>
          <w:rStyle w:val="Hyperlink"/>
          <w:rFonts w:ascii="Arial" w:hAnsi="Arial" w:cs="Arial"/>
          <w:color w:val="auto"/>
          <w:sz w:val="22"/>
          <w:szCs w:val="22"/>
          <w:u w:val="none"/>
        </w:rPr>
      </w:pPr>
      <w:r w:rsidRPr="005E20CB">
        <w:rPr>
          <w:rFonts w:ascii="Arial" w:eastAsiaTheme="minorHAnsi" w:hAnsi="Arial" w:cs="Arial"/>
          <w:color w:val="auto"/>
          <w:sz w:val="22"/>
          <w:szCs w:val="22"/>
        </w:rPr>
        <w:t xml:space="preserve">(b)(1)(A) </w:t>
      </w:r>
      <w:proofErr w:type="gramStart"/>
      <w:r w:rsidRPr="005E20CB">
        <w:rPr>
          <w:rFonts w:ascii="Arial" w:eastAsiaTheme="minorHAnsi" w:hAnsi="Arial" w:cs="Arial"/>
          <w:strike/>
          <w:color w:val="943634" w:themeColor="accent2" w:themeShade="BF"/>
          <w:sz w:val="22"/>
          <w:szCs w:val="22"/>
        </w:rPr>
        <w:t>may</w:t>
      </w:r>
      <w:proofErr w:type="gramEnd"/>
      <w:r w:rsidRPr="005E20CB">
        <w:rPr>
          <w:rFonts w:ascii="Arial" w:eastAsiaTheme="minorHAnsi" w:hAnsi="Arial" w:cs="Arial"/>
          <w:color w:val="943634" w:themeColor="accent2" w:themeShade="BF"/>
          <w:sz w:val="22"/>
          <w:szCs w:val="22"/>
        </w:rPr>
        <w:t xml:space="preserve"> shall</w:t>
      </w:r>
      <w:r w:rsidRPr="005E20CB">
        <w:rPr>
          <w:rStyle w:val="Hyperlink"/>
          <w:rFonts w:ascii="Arial" w:hAnsi="Arial" w:cs="Arial"/>
          <w:color w:val="C0504D" w:themeColor="accent2"/>
          <w:sz w:val="22"/>
          <w:szCs w:val="22"/>
          <w:u w:val="none"/>
        </w:rPr>
        <w:t xml:space="preserve"> </w:t>
      </w:r>
      <w:r w:rsidRPr="005E20CB">
        <w:rPr>
          <w:rStyle w:val="Hyperlink"/>
          <w:rFonts w:ascii="Arial" w:hAnsi="Arial" w:cs="Arial"/>
          <w:color w:val="auto"/>
          <w:sz w:val="22"/>
          <w:szCs w:val="22"/>
          <w:u w:val="none"/>
        </w:rPr>
        <w:t>provide in the Request for Authorization (RFA) …</w:t>
      </w:r>
    </w:p>
    <w:p w:rsidR="00E14191" w:rsidRPr="005E20CB" w:rsidRDefault="00E14191" w:rsidP="00670202">
      <w:pPr>
        <w:ind w:left="720"/>
        <w:rPr>
          <w:rFonts w:eastAsiaTheme="minorHAnsi"/>
          <w:i/>
          <w:color w:val="943634" w:themeColor="accent2" w:themeShade="BF"/>
          <w:sz w:val="22"/>
          <w:szCs w:val="22"/>
        </w:rPr>
      </w:pPr>
    </w:p>
    <w:p w:rsidR="0038347D" w:rsidRPr="005E20CB" w:rsidRDefault="0038347D" w:rsidP="0038347D">
      <w:pPr>
        <w:rPr>
          <w:rFonts w:ascii="Arial" w:eastAsiaTheme="minorHAnsi" w:hAnsi="Arial" w:cs="Arial"/>
          <w:i/>
          <w:color w:val="auto"/>
          <w:sz w:val="22"/>
          <w:szCs w:val="22"/>
        </w:rPr>
      </w:pPr>
      <w:r w:rsidRPr="005E20CB">
        <w:rPr>
          <w:rFonts w:ascii="Arial" w:eastAsiaTheme="minorHAnsi" w:hAnsi="Arial" w:cs="Arial"/>
          <w:b/>
          <w:color w:val="auto"/>
          <w:sz w:val="22"/>
          <w:szCs w:val="22"/>
        </w:rPr>
        <w:t>Discussion</w:t>
      </w:r>
      <w:r w:rsidRPr="005E20CB">
        <w:rPr>
          <w:rFonts w:ascii="Arial" w:eastAsiaTheme="minorHAnsi" w:hAnsi="Arial" w:cs="Arial"/>
          <w:b/>
          <w:color w:val="76923C" w:themeColor="accent3" w:themeShade="BF"/>
          <w:sz w:val="22"/>
          <w:szCs w:val="22"/>
        </w:rPr>
        <w:t xml:space="preserve"> </w:t>
      </w:r>
    </w:p>
    <w:p w:rsidR="00E14191" w:rsidRPr="005E20CB" w:rsidRDefault="00E14191" w:rsidP="00E14191">
      <w:pPr>
        <w:ind w:left="720"/>
        <w:rPr>
          <w:rFonts w:ascii="Arial" w:eastAsiaTheme="minorHAnsi" w:hAnsi="Arial" w:cs="Arial"/>
          <w:i/>
          <w:color w:val="943634" w:themeColor="accent2" w:themeShade="BF"/>
          <w:sz w:val="22"/>
          <w:szCs w:val="22"/>
        </w:rPr>
      </w:pPr>
      <w:r w:rsidRPr="005E20CB">
        <w:rPr>
          <w:rFonts w:ascii="Arial" w:eastAsiaTheme="minorHAnsi" w:hAnsi="Arial" w:cs="Arial"/>
          <w:i/>
          <w:color w:val="943634" w:themeColor="accent2" w:themeShade="BF"/>
          <w:sz w:val="22"/>
          <w:szCs w:val="22"/>
        </w:rPr>
        <w:t>The Institute strongly supports subdivision (b</w:t>
      </w:r>
      <w:proofErr w:type="gramStart"/>
      <w:r w:rsidRPr="005E20CB">
        <w:rPr>
          <w:rFonts w:ascii="Arial" w:eastAsiaTheme="minorHAnsi" w:hAnsi="Arial" w:cs="Arial"/>
          <w:i/>
          <w:color w:val="943634" w:themeColor="accent2" w:themeShade="BF"/>
          <w:sz w:val="22"/>
          <w:szCs w:val="22"/>
        </w:rPr>
        <w:t>)(</w:t>
      </w:r>
      <w:proofErr w:type="gramEnd"/>
      <w:r w:rsidRPr="005E20CB">
        <w:rPr>
          <w:rFonts w:ascii="Arial" w:eastAsiaTheme="minorHAnsi" w:hAnsi="Arial" w:cs="Arial"/>
          <w:i/>
          <w:color w:val="943634" w:themeColor="accent2" w:themeShade="BF"/>
          <w:sz w:val="22"/>
          <w:szCs w:val="22"/>
        </w:rPr>
        <w:t xml:space="preserve">1) as modified except that if the treating physician believes the medical condition or injury is not addressed by the MTUS, the Institute recommends requiring in (b)(1)(A) </w:t>
      </w:r>
      <w:r w:rsidR="00105AE0" w:rsidRPr="005E20CB">
        <w:rPr>
          <w:rFonts w:ascii="Arial" w:eastAsiaTheme="minorHAnsi" w:hAnsi="Arial" w:cs="Arial"/>
          <w:i/>
          <w:color w:val="943634" w:themeColor="accent2" w:themeShade="BF"/>
          <w:sz w:val="22"/>
          <w:szCs w:val="22"/>
        </w:rPr>
        <w:t xml:space="preserve">that </w:t>
      </w:r>
      <w:r w:rsidRPr="005E20CB">
        <w:rPr>
          <w:rFonts w:ascii="Arial" w:eastAsiaTheme="minorHAnsi" w:hAnsi="Arial" w:cs="Arial"/>
          <w:i/>
          <w:color w:val="943634" w:themeColor="accent2" w:themeShade="BF"/>
          <w:sz w:val="22"/>
          <w:szCs w:val="22"/>
        </w:rPr>
        <w:t xml:space="preserve">the treating physician provide the citation to the other guideline or study containing the recommendation he or she believes </w:t>
      </w:r>
      <w:r w:rsidR="00105AE0" w:rsidRPr="005E20CB">
        <w:rPr>
          <w:rFonts w:ascii="Arial" w:eastAsiaTheme="minorHAnsi" w:hAnsi="Arial" w:cs="Arial"/>
          <w:i/>
          <w:color w:val="943634" w:themeColor="accent2" w:themeShade="BF"/>
          <w:sz w:val="22"/>
          <w:szCs w:val="22"/>
        </w:rPr>
        <w:t>establishes</w:t>
      </w:r>
      <w:r w:rsidRPr="005E20CB">
        <w:rPr>
          <w:rFonts w:ascii="Arial" w:eastAsiaTheme="minorHAnsi" w:hAnsi="Arial" w:cs="Arial"/>
          <w:i/>
          <w:color w:val="943634" w:themeColor="accent2" w:themeShade="BF"/>
          <w:sz w:val="22"/>
          <w:szCs w:val="22"/>
        </w:rPr>
        <w:t xml:space="preserve"> the reasonableness and necessity of the requested treatment.  </w:t>
      </w:r>
    </w:p>
    <w:p w:rsidR="00E14191" w:rsidRPr="005E20CB" w:rsidRDefault="00E14191" w:rsidP="00670202">
      <w:pPr>
        <w:ind w:left="720"/>
        <w:rPr>
          <w:rFonts w:ascii="Arial" w:eastAsiaTheme="minorHAnsi" w:hAnsi="Arial" w:cs="Arial"/>
          <w:i/>
          <w:color w:val="943634" w:themeColor="accent2" w:themeShade="BF"/>
          <w:sz w:val="22"/>
          <w:szCs w:val="22"/>
        </w:rPr>
      </w:pPr>
    </w:p>
    <w:p w:rsidR="00D3533B" w:rsidRPr="005E20CB" w:rsidRDefault="00D3533B" w:rsidP="0038347D">
      <w:pPr>
        <w:rPr>
          <w:rFonts w:ascii="Arial" w:eastAsiaTheme="minorHAnsi" w:hAnsi="Arial" w:cs="Arial"/>
          <w:color w:val="auto"/>
          <w:sz w:val="22"/>
          <w:szCs w:val="22"/>
        </w:rPr>
      </w:pPr>
      <w:r w:rsidRPr="005E20CB">
        <w:rPr>
          <w:rFonts w:ascii="Arial" w:eastAsiaTheme="minorHAnsi" w:hAnsi="Arial" w:cs="Arial"/>
          <w:b/>
          <w:color w:val="auto"/>
          <w:sz w:val="22"/>
          <w:szCs w:val="22"/>
        </w:rPr>
        <w:t>Recommendation</w:t>
      </w:r>
    </w:p>
    <w:p w:rsidR="00D3533B" w:rsidRPr="005E20CB" w:rsidRDefault="00D3533B" w:rsidP="00D3533B">
      <w:pPr>
        <w:ind w:left="720"/>
        <w:rPr>
          <w:rStyle w:val="Hyperlink"/>
          <w:rFonts w:ascii="Arial" w:hAnsi="Arial" w:cs="Arial"/>
          <w:color w:val="auto"/>
          <w:sz w:val="22"/>
          <w:szCs w:val="22"/>
          <w:u w:val="none"/>
        </w:rPr>
      </w:pPr>
      <w:r w:rsidRPr="005E20CB">
        <w:rPr>
          <w:rStyle w:val="Hyperlink"/>
          <w:rFonts w:ascii="Arial" w:hAnsi="Arial" w:cs="Arial"/>
          <w:color w:val="auto"/>
          <w:sz w:val="22"/>
          <w:szCs w:val="22"/>
          <w:u w:val="none"/>
        </w:rPr>
        <w:t xml:space="preserve">(d)(1)(A) Indicate the </w:t>
      </w:r>
      <w:r w:rsidRPr="005E20CB">
        <w:rPr>
          <w:rFonts w:ascii="Arial" w:eastAsiaTheme="minorHAnsi" w:hAnsi="Arial" w:cs="Arial"/>
          <w:color w:val="943634" w:themeColor="accent2" w:themeShade="BF"/>
          <w:sz w:val="22"/>
          <w:szCs w:val="22"/>
          <w:u w:val="single"/>
        </w:rPr>
        <w:t>current version of the</w:t>
      </w:r>
      <w:r w:rsidRPr="005E20CB">
        <w:rPr>
          <w:rFonts w:ascii="Arial" w:eastAsiaTheme="minorHAnsi" w:hAnsi="Arial" w:cs="Arial"/>
          <w:i/>
          <w:color w:val="943634" w:themeColor="accent2" w:themeShade="BF"/>
          <w:sz w:val="22"/>
          <w:szCs w:val="22"/>
        </w:rPr>
        <w:t xml:space="preserve"> </w:t>
      </w:r>
      <w:r w:rsidRPr="005E20CB">
        <w:rPr>
          <w:rStyle w:val="Hyperlink"/>
          <w:rFonts w:ascii="Arial" w:hAnsi="Arial" w:cs="Arial"/>
          <w:color w:val="auto"/>
          <w:sz w:val="22"/>
          <w:szCs w:val="22"/>
          <w:u w:val="none"/>
        </w:rPr>
        <w:t xml:space="preserve">MTUS is being cited </w:t>
      </w:r>
      <w:r w:rsidRPr="005E20CB">
        <w:rPr>
          <w:rFonts w:ascii="Arial" w:eastAsiaTheme="minorHAnsi" w:hAnsi="Arial" w:cs="Arial"/>
          <w:strike/>
          <w:color w:val="943634" w:themeColor="accent2" w:themeShade="BF"/>
          <w:sz w:val="22"/>
          <w:szCs w:val="22"/>
        </w:rPr>
        <w:t>and the effective year of the guideline</w:t>
      </w:r>
      <w:r w:rsidRPr="005E20CB">
        <w:rPr>
          <w:rStyle w:val="Hyperlink"/>
          <w:rFonts w:ascii="Arial" w:hAnsi="Arial" w:cs="Arial"/>
          <w:color w:val="auto"/>
          <w:sz w:val="22"/>
          <w:szCs w:val="22"/>
          <w:u w:val="none"/>
        </w:rPr>
        <w:t>;</w:t>
      </w:r>
    </w:p>
    <w:p w:rsidR="00D3533B" w:rsidRPr="005E20CB" w:rsidRDefault="00D3533B" w:rsidP="00D3533B">
      <w:pPr>
        <w:ind w:left="720"/>
        <w:rPr>
          <w:rStyle w:val="Hyperlink"/>
          <w:rFonts w:ascii="Arial" w:hAnsi="Arial" w:cs="Arial"/>
          <w:color w:val="auto"/>
          <w:sz w:val="22"/>
          <w:szCs w:val="22"/>
          <w:u w:val="none"/>
        </w:rPr>
      </w:pPr>
    </w:p>
    <w:p w:rsidR="0038347D" w:rsidRPr="005E20CB" w:rsidRDefault="0038347D" w:rsidP="0038347D">
      <w:pPr>
        <w:rPr>
          <w:rFonts w:ascii="Arial" w:eastAsiaTheme="minorHAnsi" w:hAnsi="Arial" w:cs="Arial"/>
          <w:i/>
          <w:color w:val="auto"/>
          <w:sz w:val="22"/>
          <w:szCs w:val="22"/>
        </w:rPr>
      </w:pPr>
      <w:r w:rsidRPr="005E20CB">
        <w:rPr>
          <w:rFonts w:ascii="Arial" w:eastAsiaTheme="minorHAnsi" w:hAnsi="Arial" w:cs="Arial"/>
          <w:b/>
          <w:color w:val="auto"/>
          <w:sz w:val="22"/>
          <w:szCs w:val="22"/>
        </w:rPr>
        <w:t>Discussion</w:t>
      </w:r>
      <w:r w:rsidRPr="005E20CB">
        <w:rPr>
          <w:rFonts w:ascii="Arial" w:eastAsiaTheme="minorHAnsi" w:hAnsi="Arial" w:cs="Arial"/>
          <w:b/>
          <w:color w:val="76923C" w:themeColor="accent3" w:themeShade="BF"/>
          <w:sz w:val="22"/>
          <w:szCs w:val="22"/>
        </w:rPr>
        <w:t xml:space="preserve"> </w:t>
      </w:r>
    </w:p>
    <w:p w:rsidR="00D3533B" w:rsidRPr="005E20CB" w:rsidRDefault="0038347D" w:rsidP="00D3533B">
      <w:pPr>
        <w:ind w:left="720"/>
        <w:rPr>
          <w:rFonts w:ascii="Arial" w:eastAsiaTheme="minorHAnsi" w:hAnsi="Arial" w:cs="Arial"/>
          <w:color w:val="943634" w:themeColor="accent2" w:themeShade="BF"/>
          <w:sz w:val="22"/>
          <w:szCs w:val="22"/>
        </w:rPr>
      </w:pPr>
      <w:r w:rsidRPr="005E20CB">
        <w:rPr>
          <w:rFonts w:ascii="Arial" w:eastAsiaTheme="minorHAnsi" w:hAnsi="Arial" w:cs="Arial"/>
          <w:i/>
          <w:color w:val="943634" w:themeColor="accent2" w:themeShade="BF"/>
          <w:sz w:val="22"/>
          <w:szCs w:val="22"/>
        </w:rPr>
        <w:t xml:space="preserve">This clarification is necessary because it is not necessary to cite the effective year of a recommendation or set of recommendations as long as they are included in the currently adopted MTUS. </w:t>
      </w:r>
      <w:r w:rsidR="00D3533B" w:rsidRPr="005E20CB">
        <w:rPr>
          <w:rFonts w:ascii="Arial" w:eastAsiaTheme="minorHAnsi" w:hAnsi="Arial" w:cs="Arial"/>
          <w:i/>
          <w:color w:val="943634" w:themeColor="accent2" w:themeShade="BF"/>
          <w:sz w:val="22"/>
          <w:szCs w:val="22"/>
        </w:rPr>
        <w:t xml:space="preserve">The Institute believes the most current version of the MTUS should always apply when determining the most appropriate treatment.  </w:t>
      </w:r>
    </w:p>
    <w:p w:rsidR="00473FA0" w:rsidRPr="005E20CB" w:rsidRDefault="00473FA0" w:rsidP="00473FA0">
      <w:pPr>
        <w:rPr>
          <w:rFonts w:ascii="Arial" w:eastAsiaTheme="minorHAnsi" w:hAnsi="Arial" w:cs="Arial"/>
          <w:color w:val="auto"/>
          <w:sz w:val="22"/>
          <w:szCs w:val="22"/>
        </w:rPr>
      </w:pPr>
      <w:r w:rsidRPr="005E20CB">
        <w:rPr>
          <w:rFonts w:ascii="Arial" w:eastAsiaTheme="minorHAnsi" w:hAnsi="Arial" w:cs="Arial"/>
          <w:b/>
          <w:color w:val="auto"/>
          <w:sz w:val="22"/>
          <w:szCs w:val="22"/>
        </w:rPr>
        <w:lastRenderedPageBreak/>
        <w:t>Recommendation</w:t>
      </w:r>
    </w:p>
    <w:p w:rsidR="00473FA0" w:rsidRPr="005E20CB" w:rsidRDefault="00473FA0" w:rsidP="00B86C5B">
      <w:pPr>
        <w:ind w:firstLine="720"/>
        <w:rPr>
          <w:rStyle w:val="Hyperlink"/>
          <w:rFonts w:ascii="Arial" w:hAnsi="Arial" w:cs="Arial"/>
          <w:color w:val="auto"/>
          <w:sz w:val="22"/>
          <w:szCs w:val="22"/>
          <w:u w:val="none"/>
        </w:rPr>
      </w:pPr>
      <w:r w:rsidRPr="005E20CB">
        <w:rPr>
          <w:rStyle w:val="Hyperlink"/>
          <w:rFonts w:ascii="Arial" w:hAnsi="Arial" w:cs="Arial"/>
          <w:color w:val="auto"/>
          <w:sz w:val="22"/>
          <w:szCs w:val="22"/>
          <w:u w:val="none"/>
        </w:rPr>
        <w:t>(e) Eliminate this subdivision.</w:t>
      </w:r>
    </w:p>
    <w:p w:rsidR="00473FA0" w:rsidRPr="005E20CB" w:rsidRDefault="00473FA0" w:rsidP="00473FA0">
      <w:pPr>
        <w:rPr>
          <w:rStyle w:val="Hyperlink"/>
          <w:rFonts w:ascii="Arial" w:hAnsi="Arial" w:cs="Arial"/>
          <w:color w:val="auto"/>
          <w:sz w:val="22"/>
          <w:szCs w:val="22"/>
          <w:u w:val="none"/>
        </w:rPr>
      </w:pPr>
    </w:p>
    <w:p w:rsidR="00473FA0" w:rsidRPr="005E20CB" w:rsidRDefault="00473FA0" w:rsidP="00473FA0">
      <w:pPr>
        <w:rPr>
          <w:rStyle w:val="Hyperlink"/>
          <w:rFonts w:ascii="Arial" w:hAnsi="Arial" w:cs="Arial"/>
          <w:color w:val="auto"/>
          <w:sz w:val="22"/>
          <w:szCs w:val="22"/>
          <w:u w:val="none"/>
        </w:rPr>
      </w:pPr>
      <w:r w:rsidRPr="005E20CB">
        <w:rPr>
          <w:rStyle w:val="Hyperlink"/>
          <w:rFonts w:ascii="Arial" w:hAnsi="Arial" w:cs="Arial"/>
          <w:b/>
          <w:color w:val="auto"/>
          <w:sz w:val="22"/>
          <w:szCs w:val="22"/>
          <w:u w:val="none"/>
        </w:rPr>
        <w:t xml:space="preserve">Discussion </w:t>
      </w:r>
    </w:p>
    <w:p w:rsidR="00473FA0" w:rsidRPr="005E20CB" w:rsidRDefault="0022091A" w:rsidP="00473FA0">
      <w:pPr>
        <w:ind w:left="720"/>
        <w:rPr>
          <w:rFonts w:ascii="Arial" w:eastAsiaTheme="minorHAnsi" w:hAnsi="Arial" w:cs="Arial"/>
          <w:i/>
          <w:color w:val="943634" w:themeColor="accent2" w:themeShade="BF"/>
          <w:sz w:val="22"/>
          <w:szCs w:val="22"/>
        </w:rPr>
      </w:pPr>
      <w:r w:rsidRPr="005E20CB">
        <w:rPr>
          <w:rFonts w:ascii="Arial" w:eastAsiaTheme="minorHAnsi" w:hAnsi="Arial" w:cs="Arial"/>
          <w:i/>
          <w:color w:val="943634" w:themeColor="accent2" w:themeShade="BF"/>
          <w:sz w:val="22"/>
          <w:szCs w:val="22"/>
        </w:rPr>
        <w:t>Subdivision (e) is unnecessary.</w:t>
      </w:r>
      <w:r w:rsidR="00473FA0" w:rsidRPr="005E20CB">
        <w:rPr>
          <w:rFonts w:ascii="Arial" w:eastAsiaTheme="minorHAnsi" w:hAnsi="Arial" w:cs="Arial"/>
          <w:i/>
          <w:color w:val="943634" w:themeColor="accent2" w:themeShade="BF"/>
          <w:sz w:val="22"/>
          <w:szCs w:val="22"/>
        </w:rPr>
        <w:t xml:space="preserve"> If the Division believes exception language should remain, the language must be modified to allow not only for approving medical treatment beyond what is covered in the MTUS, but also for not allowing medical treatment that is covered in the MTUS to account for medical circumstances warranting an exception.  </w:t>
      </w:r>
    </w:p>
    <w:p w:rsidR="00473FA0" w:rsidRPr="005E20CB" w:rsidRDefault="00473FA0" w:rsidP="00473FA0">
      <w:pPr>
        <w:ind w:left="720"/>
        <w:rPr>
          <w:rFonts w:ascii="Arial" w:eastAsiaTheme="minorHAnsi" w:hAnsi="Arial" w:cs="Arial"/>
          <w:i/>
          <w:color w:val="943634" w:themeColor="accent2" w:themeShade="BF"/>
          <w:sz w:val="22"/>
          <w:szCs w:val="22"/>
        </w:rPr>
      </w:pPr>
    </w:p>
    <w:p w:rsidR="00473FA0" w:rsidRPr="005E20CB" w:rsidRDefault="00473FA0" w:rsidP="00473FA0">
      <w:pPr>
        <w:ind w:left="720"/>
        <w:rPr>
          <w:rFonts w:ascii="Arial" w:eastAsiaTheme="minorHAnsi" w:hAnsi="Arial" w:cs="Arial"/>
          <w:i/>
          <w:color w:val="943634" w:themeColor="accent2" w:themeShade="BF"/>
          <w:sz w:val="22"/>
          <w:szCs w:val="22"/>
        </w:rPr>
      </w:pPr>
      <w:r w:rsidRPr="005E20CB">
        <w:rPr>
          <w:rFonts w:ascii="Arial" w:eastAsiaTheme="minorHAnsi" w:hAnsi="Arial" w:cs="Arial"/>
          <w:i/>
          <w:color w:val="943634" w:themeColor="accent2" w:themeShade="BF"/>
          <w:sz w:val="22"/>
          <w:szCs w:val="22"/>
        </w:rPr>
        <w:t>The language contradicts language in other sections, is confusing, may be misunderstood and will likely result in unintended consequences.  For example, disputes may arise over whether an insured employer may override the claims administrator or its utilization review decision.  Removing the language will eliminate this problem and allow exceptions to continue unfettered where warranted by the medical circumstances.</w:t>
      </w:r>
    </w:p>
    <w:p w:rsidR="00B86C5B" w:rsidRPr="005E20CB" w:rsidRDefault="00B86C5B" w:rsidP="0022091A">
      <w:pPr>
        <w:rPr>
          <w:rFonts w:ascii="Arial" w:eastAsiaTheme="minorHAnsi" w:hAnsi="Arial" w:cs="Arial"/>
          <w:i/>
          <w:color w:val="943634" w:themeColor="accent2" w:themeShade="BF"/>
          <w:sz w:val="22"/>
          <w:szCs w:val="22"/>
        </w:rPr>
      </w:pPr>
    </w:p>
    <w:p w:rsidR="00B86C5B" w:rsidRPr="005E20CB" w:rsidRDefault="00B86C5B" w:rsidP="0022091A">
      <w:pPr>
        <w:rPr>
          <w:rFonts w:ascii="Arial" w:eastAsiaTheme="minorHAnsi" w:hAnsi="Arial" w:cs="Arial"/>
          <w:i/>
          <w:color w:val="943634" w:themeColor="accent2" w:themeShade="BF"/>
          <w:sz w:val="22"/>
          <w:szCs w:val="22"/>
        </w:rPr>
      </w:pPr>
    </w:p>
    <w:p w:rsidR="0022091A" w:rsidRPr="005E20CB" w:rsidRDefault="0022091A" w:rsidP="0022091A">
      <w:pPr>
        <w:rPr>
          <w:rFonts w:eastAsiaTheme="minorHAnsi"/>
          <w:i/>
          <w:color w:val="943634" w:themeColor="accent2" w:themeShade="BF"/>
          <w:sz w:val="22"/>
          <w:szCs w:val="22"/>
        </w:rPr>
      </w:pPr>
      <w:r w:rsidRPr="005E20CB">
        <w:rPr>
          <w:rStyle w:val="Strong"/>
          <w:rFonts w:ascii="Arial" w:hAnsi="Arial" w:cs="Arial"/>
          <w:bCs w:val="0"/>
          <w:color w:val="252525"/>
          <w:sz w:val="22"/>
          <w:szCs w:val="22"/>
        </w:rPr>
        <w:t>§ 9792.23</w:t>
      </w:r>
      <w:r w:rsidR="00165366" w:rsidRPr="005E20CB">
        <w:rPr>
          <w:rStyle w:val="Strong"/>
          <w:rFonts w:ascii="Arial" w:hAnsi="Arial" w:cs="Arial"/>
          <w:bCs w:val="0"/>
          <w:color w:val="252525"/>
          <w:sz w:val="22"/>
          <w:szCs w:val="22"/>
        </w:rPr>
        <w:t>(b)</w:t>
      </w:r>
      <w:r w:rsidRPr="005E20CB">
        <w:rPr>
          <w:rStyle w:val="Strong"/>
          <w:rFonts w:ascii="Arial" w:hAnsi="Arial" w:cs="Arial"/>
          <w:bCs w:val="0"/>
          <w:color w:val="252525"/>
          <w:sz w:val="22"/>
          <w:szCs w:val="22"/>
        </w:rPr>
        <w:t xml:space="preserve"> Clinical Topics</w:t>
      </w:r>
    </w:p>
    <w:p w:rsidR="007E0C4E" w:rsidRPr="005E20CB" w:rsidRDefault="007E0C4E" w:rsidP="007E0C4E">
      <w:pPr>
        <w:ind w:left="720"/>
        <w:rPr>
          <w:rFonts w:ascii="Arial" w:eastAsiaTheme="minorHAnsi" w:hAnsi="Arial" w:cs="Arial"/>
          <w:i/>
          <w:color w:val="943634" w:themeColor="accent2" w:themeShade="BF"/>
          <w:sz w:val="22"/>
          <w:szCs w:val="22"/>
        </w:rPr>
      </w:pPr>
      <w:r w:rsidRPr="005E20CB">
        <w:rPr>
          <w:rFonts w:ascii="Arial" w:eastAsiaTheme="minorHAnsi" w:hAnsi="Arial" w:cs="Arial"/>
          <w:i/>
          <w:color w:val="943634" w:themeColor="accent2" w:themeShade="BF"/>
          <w:sz w:val="22"/>
          <w:szCs w:val="22"/>
        </w:rPr>
        <w:t xml:space="preserve">The Institute strongly supports the proposed general approach taken in section 9792.23 to identify the most effective medical treatment.  Specific recommendations are offered to improve its execution and results.  </w:t>
      </w:r>
    </w:p>
    <w:p w:rsidR="0022091A" w:rsidRPr="005E20CB" w:rsidRDefault="0022091A" w:rsidP="0022091A">
      <w:pPr>
        <w:rPr>
          <w:rFonts w:ascii="Arial" w:eastAsiaTheme="minorHAnsi" w:hAnsi="Arial" w:cs="Arial"/>
          <w:color w:val="943634" w:themeColor="accent2" w:themeShade="BF"/>
          <w:sz w:val="22"/>
          <w:szCs w:val="22"/>
        </w:rPr>
      </w:pPr>
    </w:p>
    <w:p w:rsidR="00165366" w:rsidRPr="005E20CB" w:rsidRDefault="00165366" w:rsidP="0022091A">
      <w:pPr>
        <w:rPr>
          <w:rFonts w:ascii="Arial" w:eastAsiaTheme="minorHAnsi" w:hAnsi="Arial" w:cs="Arial"/>
          <w:color w:val="auto"/>
          <w:sz w:val="22"/>
          <w:szCs w:val="22"/>
        </w:rPr>
      </w:pPr>
      <w:r w:rsidRPr="005E20CB">
        <w:rPr>
          <w:rFonts w:ascii="Arial" w:eastAsiaTheme="minorHAnsi" w:hAnsi="Arial" w:cs="Arial"/>
          <w:b/>
          <w:color w:val="auto"/>
          <w:sz w:val="22"/>
          <w:szCs w:val="22"/>
        </w:rPr>
        <w:t xml:space="preserve">Recommendation </w:t>
      </w:r>
    </w:p>
    <w:p w:rsidR="00165366" w:rsidRPr="005E20CB" w:rsidRDefault="00165366" w:rsidP="007E0C4E">
      <w:pPr>
        <w:shd w:val="clear" w:color="auto" w:fill="FFFFFF"/>
        <w:ind w:left="720"/>
        <w:jc w:val="both"/>
        <w:rPr>
          <w:rFonts w:ascii="Arial" w:hAnsi="Arial" w:cs="Arial"/>
          <w:color w:val="212121"/>
          <w:sz w:val="22"/>
          <w:szCs w:val="22"/>
          <w:u w:val="single"/>
        </w:rPr>
      </w:pPr>
      <w:r w:rsidRPr="005E20CB">
        <w:rPr>
          <w:rFonts w:ascii="Arial" w:hAnsi="Arial" w:cs="Arial"/>
          <w:color w:val="212121"/>
          <w:sz w:val="22"/>
          <w:szCs w:val="22"/>
        </w:rPr>
        <w:t xml:space="preserve">(b) For all conditions or injuries not addressed in the MTUS, the authorized treatment and diagnostic services in the initial management and subsequent treatment for presenting complaints shall be in accordance with other scientifically and evidence-based medical treatment guidelines that are </w:t>
      </w:r>
      <w:r w:rsidRPr="005E20CB">
        <w:rPr>
          <w:rFonts w:ascii="Arial" w:eastAsiaTheme="minorHAnsi" w:hAnsi="Arial" w:cs="Arial"/>
          <w:strike/>
          <w:color w:val="943634" w:themeColor="accent2" w:themeShade="BF"/>
          <w:sz w:val="22"/>
          <w:szCs w:val="22"/>
        </w:rPr>
        <w:t xml:space="preserve">nationally </w:t>
      </w:r>
      <w:r w:rsidRPr="005E20CB">
        <w:rPr>
          <w:rFonts w:ascii="Arial" w:hAnsi="Arial" w:cs="Arial"/>
          <w:color w:val="212121"/>
          <w:sz w:val="22"/>
          <w:szCs w:val="22"/>
        </w:rPr>
        <w:t xml:space="preserve">recognized </w:t>
      </w:r>
      <w:r w:rsidRPr="005E20CB">
        <w:rPr>
          <w:rFonts w:ascii="Arial" w:eastAsiaTheme="minorHAnsi" w:hAnsi="Arial" w:cs="Arial"/>
          <w:color w:val="943634" w:themeColor="accent2" w:themeShade="BF"/>
          <w:sz w:val="22"/>
          <w:szCs w:val="22"/>
          <w:u w:val="single"/>
        </w:rPr>
        <w:t>generally</w:t>
      </w:r>
      <w:r w:rsidR="00CF2BE1" w:rsidRPr="005E20CB">
        <w:rPr>
          <w:rFonts w:ascii="Arial" w:eastAsiaTheme="minorHAnsi" w:hAnsi="Arial" w:cs="Arial"/>
          <w:color w:val="943634" w:themeColor="accent2" w:themeShade="BF"/>
          <w:sz w:val="22"/>
          <w:szCs w:val="22"/>
        </w:rPr>
        <w:t xml:space="preserve"> </w:t>
      </w:r>
      <w:r w:rsidRPr="005E20CB">
        <w:rPr>
          <w:rFonts w:ascii="Arial" w:hAnsi="Arial" w:cs="Arial"/>
          <w:color w:val="212121"/>
          <w:sz w:val="22"/>
          <w:szCs w:val="22"/>
        </w:rPr>
        <w:t xml:space="preserve">by the </w:t>
      </w:r>
      <w:r w:rsidRPr="005E20CB">
        <w:rPr>
          <w:rFonts w:ascii="Arial" w:eastAsiaTheme="minorHAnsi" w:hAnsi="Arial" w:cs="Arial"/>
          <w:color w:val="943634" w:themeColor="accent2" w:themeShade="BF"/>
          <w:sz w:val="22"/>
          <w:szCs w:val="22"/>
          <w:u w:val="single"/>
        </w:rPr>
        <w:t>national</w:t>
      </w:r>
      <w:r w:rsidRPr="005E20CB">
        <w:rPr>
          <w:rFonts w:ascii="Arial" w:hAnsi="Arial" w:cs="Arial"/>
          <w:color w:val="212121"/>
          <w:sz w:val="22"/>
          <w:szCs w:val="22"/>
        </w:rPr>
        <w:t xml:space="preserve"> medical community pursuant to section 9792.21(d</w:t>
      </w:r>
      <w:proofErr w:type="gramStart"/>
      <w:r w:rsidRPr="005E20CB">
        <w:rPr>
          <w:rFonts w:ascii="Arial" w:eastAsiaTheme="minorHAnsi" w:hAnsi="Arial" w:cs="Arial"/>
          <w:color w:val="943634" w:themeColor="accent2" w:themeShade="BF"/>
          <w:sz w:val="22"/>
          <w:szCs w:val="22"/>
        </w:rPr>
        <w:t>)</w:t>
      </w:r>
      <w:r w:rsidRPr="005E20CB">
        <w:rPr>
          <w:rFonts w:ascii="Arial" w:eastAsiaTheme="minorHAnsi" w:hAnsi="Arial" w:cs="Arial"/>
          <w:color w:val="943634" w:themeColor="accent2" w:themeShade="BF"/>
          <w:sz w:val="22"/>
          <w:szCs w:val="22"/>
          <w:u w:val="single"/>
        </w:rPr>
        <w:t>(</w:t>
      </w:r>
      <w:proofErr w:type="gramEnd"/>
      <w:r w:rsidRPr="005E20CB">
        <w:rPr>
          <w:rFonts w:ascii="Arial" w:eastAsiaTheme="minorHAnsi" w:hAnsi="Arial" w:cs="Arial"/>
          <w:strike/>
          <w:color w:val="943634" w:themeColor="accent2" w:themeShade="BF"/>
          <w:sz w:val="22"/>
          <w:szCs w:val="22"/>
          <w:u w:val="single"/>
        </w:rPr>
        <w:t>1</w:t>
      </w:r>
      <w:r w:rsidRPr="005E20CB">
        <w:rPr>
          <w:rFonts w:ascii="Arial" w:eastAsiaTheme="minorHAnsi" w:hAnsi="Arial" w:cs="Arial"/>
          <w:color w:val="943634" w:themeColor="accent2" w:themeShade="BF"/>
          <w:sz w:val="22"/>
          <w:szCs w:val="22"/>
          <w:u w:val="single"/>
        </w:rPr>
        <w:t>2).</w:t>
      </w:r>
    </w:p>
    <w:p w:rsidR="00165366" w:rsidRPr="005E20CB" w:rsidRDefault="00165366" w:rsidP="00165366">
      <w:pPr>
        <w:shd w:val="clear" w:color="auto" w:fill="FFFFFF"/>
        <w:jc w:val="both"/>
        <w:rPr>
          <w:rFonts w:ascii="Arial" w:hAnsi="Arial" w:cs="Arial"/>
          <w:color w:val="212121"/>
          <w:sz w:val="22"/>
          <w:szCs w:val="22"/>
        </w:rPr>
      </w:pPr>
    </w:p>
    <w:p w:rsidR="00165366" w:rsidRPr="005E20CB" w:rsidRDefault="00165366" w:rsidP="00165366">
      <w:pPr>
        <w:shd w:val="clear" w:color="auto" w:fill="FFFFFF"/>
        <w:jc w:val="both"/>
        <w:rPr>
          <w:rFonts w:ascii="Arial" w:hAnsi="Arial" w:cs="Arial"/>
          <w:b/>
          <w:color w:val="212121"/>
          <w:sz w:val="22"/>
          <w:szCs w:val="22"/>
        </w:rPr>
      </w:pPr>
      <w:r w:rsidRPr="005E20CB">
        <w:rPr>
          <w:rFonts w:ascii="Arial" w:hAnsi="Arial" w:cs="Arial"/>
          <w:b/>
          <w:color w:val="212121"/>
          <w:sz w:val="22"/>
          <w:szCs w:val="22"/>
        </w:rPr>
        <w:t xml:space="preserve">Discussion </w:t>
      </w:r>
    </w:p>
    <w:p w:rsidR="00165366" w:rsidRPr="005E20CB" w:rsidRDefault="00165366" w:rsidP="00165366">
      <w:pPr>
        <w:ind w:left="720"/>
        <w:rPr>
          <w:rFonts w:ascii="Arial" w:eastAsiaTheme="minorHAnsi" w:hAnsi="Arial" w:cs="Arial"/>
          <w:i/>
          <w:color w:val="943634" w:themeColor="accent2" w:themeShade="BF"/>
          <w:sz w:val="22"/>
          <w:szCs w:val="22"/>
        </w:rPr>
      </w:pPr>
      <w:r w:rsidRPr="005E20CB">
        <w:rPr>
          <w:rFonts w:ascii="Arial" w:eastAsiaTheme="minorHAnsi" w:hAnsi="Arial" w:cs="Arial"/>
          <w:i/>
          <w:color w:val="943634" w:themeColor="accent2" w:themeShade="BF"/>
          <w:sz w:val="22"/>
          <w:szCs w:val="22"/>
        </w:rPr>
        <w:t xml:space="preserve">The recommended language change more closely conforms to the language and its meaning in Labor Code section 4604.5(d) which states: </w:t>
      </w:r>
    </w:p>
    <w:p w:rsidR="00165366" w:rsidRPr="005E20CB" w:rsidRDefault="00165366" w:rsidP="00165366">
      <w:pPr>
        <w:ind w:left="1440"/>
        <w:rPr>
          <w:rFonts w:ascii="Arial" w:eastAsiaTheme="minorHAnsi" w:hAnsi="Arial" w:cs="Arial"/>
          <w:i/>
          <w:color w:val="943634" w:themeColor="accent2" w:themeShade="BF"/>
          <w:sz w:val="22"/>
          <w:szCs w:val="22"/>
        </w:rPr>
      </w:pPr>
      <w:r w:rsidRPr="005E20CB">
        <w:rPr>
          <w:rFonts w:ascii="Arial" w:eastAsiaTheme="minorHAnsi" w:hAnsi="Arial" w:cs="Arial"/>
          <w:i/>
          <w:color w:val="943634" w:themeColor="accent2" w:themeShade="BF"/>
          <w:sz w:val="22"/>
          <w:szCs w:val="22"/>
        </w:rPr>
        <w:t>“For all injuries not covered by the official utilization schedule adopted pursuant to Section 5307.27, authorized treatment shall be in accordance with other evidence-based medical treatment guidelines that are recognized generally by the national medical community and scientifically based.”</w:t>
      </w:r>
    </w:p>
    <w:p w:rsidR="00165366" w:rsidRPr="005E20CB" w:rsidRDefault="00165366" w:rsidP="00165366">
      <w:pPr>
        <w:ind w:left="720"/>
        <w:rPr>
          <w:rFonts w:ascii="Arial" w:eastAsiaTheme="minorHAnsi" w:hAnsi="Arial" w:cs="Arial"/>
          <w:i/>
          <w:color w:val="943634" w:themeColor="accent2" w:themeShade="BF"/>
          <w:sz w:val="22"/>
          <w:szCs w:val="22"/>
        </w:rPr>
      </w:pPr>
    </w:p>
    <w:p w:rsidR="00165366" w:rsidRPr="005E20CB" w:rsidRDefault="00165366" w:rsidP="00165366">
      <w:pPr>
        <w:ind w:left="720"/>
        <w:rPr>
          <w:rFonts w:ascii="Arial" w:eastAsiaTheme="minorHAnsi" w:hAnsi="Arial" w:cs="Arial"/>
          <w:i/>
          <w:color w:val="943634" w:themeColor="accent2" w:themeShade="BF"/>
          <w:sz w:val="22"/>
          <w:szCs w:val="22"/>
        </w:rPr>
      </w:pPr>
      <w:r w:rsidRPr="005E20CB">
        <w:rPr>
          <w:rFonts w:ascii="Arial" w:eastAsiaTheme="minorHAnsi" w:hAnsi="Arial" w:cs="Arial"/>
          <w:i/>
          <w:color w:val="943634" w:themeColor="accent2" w:themeShade="BF"/>
          <w:sz w:val="22"/>
          <w:szCs w:val="22"/>
        </w:rPr>
        <w:t xml:space="preserve">As in the Labor Code section 4604.5(d) language, it will be clear under the recommended language that national standards prevail, and not local “community standards” that differ from generally accepted national standards or that are accepted only by a minority in the national medical community. </w:t>
      </w:r>
    </w:p>
    <w:p w:rsidR="00165366" w:rsidRPr="005E20CB" w:rsidRDefault="00165366" w:rsidP="00165366">
      <w:pPr>
        <w:ind w:left="720"/>
        <w:rPr>
          <w:rFonts w:ascii="Arial" w:eastAsiaTheme="minorHAnsi" w:hAnsi="Arial" w:cs="Arial"/>
          <w:i/>
          <w:color w:val="943634" w:themeColor="accent2" w:themeShade="BF"/>
          <w:sz w:val="22"/>
          <w:szCs w:val="22"/>
        </w:rPr>
      </w:pPr>
    </w:p>
    <w:p w:rsidR="00165366" w:rsidRPr="005E20CB" w:rsidRDefault="00165366" w:rsidP="00165366">
      <w:pPr>
        <w:ind w:left="720"/>
        <w:rPr>
          <w:rFonts w:ascii="Arial" w:eastAsiaTheme="minorHAnsi" w:hAnsi="Arial" w:cs="Arial"/>
          <w:i/>
          <w:color w:val="943634" w:themeColor="accent2" w:themeShade="BF"/>
          <w:sz w:val="22"/>
          <w:szCs w:val="22"/>
        </w:rPr>
      </w:pPr>
      <w:r w:rsidRPr="005E20CB">
        <w:rPr>
          <w:rFonts w:ascii="Arial" w:eastAsiaTheme="minorHAnsi" w:hAnsi="Arial" w:cs="Arial"/>
          <w:i/>
          <w:color w:val="943634" w:themeColor="accent2" w:themeShade="BF"/>
          <w:sz w:val="22"/>
          <w:szCs w:val="22"/>
        </w:rPr>
        <w:t>The recommended change to the section number corrects what appears to be an inadvertent typographical error, as it is section 9792.21(d</w:t>
      </w:r>
      <w:proofErr w:type="gramStart"/>
      <w:r w:rsidRPr="005E20CB">
        <w:rPr>
          <w:rFonts w:ascii="Arial" w:eastAsiaTheme="minorHAnsi" w:hAnsi="Arial" w:cs="Arial"/>
          <w:i/>
          <w:color w:val="943634" w:themeColor="accent2" w:themeShade="BF"/>
          <w:sz w:val="22"/>
          <w:szCs w:val="22"/>
        </w:rPr>
        <w:t>)(</w:t>
      </w:r>
      <w:proofErr w:type="gramEnd"/>
      <w:r w:rsidRPr="005E20CB">
        <w:rPr>
          <w:rFonts w:ascii="Arial" w:eastAsiaTheme="minorHAnsi" w:hAnsi="Arial" w:cs="Arial"/>
          <w:i/>
          <w:color w:val="943634" w:themeColor="accent2" w:themeShade="BF"/>
          <w:sz w:val="22"/>
          <w:szCs w:val="22"/>
        </w:rPr>
        <w:t>2) that pertains to treatment guidelines other than the MTUS.</w:t>
      </w:r>
    </w:p>
    <w:p w:rsidR="00165366" w:rsidRPr="005E20CB" w:rsidRDefault="00165366" w:rsidP="00165366">
      <w:pPr>
        <w:shd w:val="clear" w:color="auto" w:fill="FFFFFF"/>
        <w:jc w:val="both"/>
        <w:rPr>
          <w:rFonts w:ascii="Arial" w:hAnsi="Arial" w:cs="Arial"/>
          <w:color w:val="212121"/>
          <w:sz w:val="22"/>
          <w:szCs w:val="22"/>
        </w:rPr>
      </w:pPr>
    </w:p>
    <w:p w:rsidR="00473FA0" w:rsidRPr="005E20CB" w:rsidRDefault="00473FA0" w:rsidP="00670202">
      <w:pPr>
        <w:ind w:left="720"/>
        <w:rPr>
          <w:rFonts w:ascii="Arial" w:eastAsiaTheme="minorHAnsi" w:hAnsi="Arial" w:cs="Arial"/>
          <w:b/>
          <w:color w:val="auto"/>
          <w:sz w:val="22"/>
          <w:szCs w:val="22"/>
        </w:rPr>
      </w:pPr>
    </w:p>
    <w:p w:rsidR="0092383E" w:rsidRPr="005E20CB" w:rsidRDefault="00297207" w:rsidP="00297207">
      <w:pPr>
        <w:jc w:val="both"/>
        <w:rPr>
          <w:rFonts w:ascii="Arial" w:hAnsi="Arial" w:cs="Arial"/>
          <w:b/>
          <w:color w:val="auto"/>
          <w:sz w:val="22"/>
          <w:szCs w:val="22"/>
        </w:rPr>
      </w:pPr>
      <w:r w:rsidRPr="005E20CB">
        <w:rPr>
          <w:rFonts w:ascii="Arial" w:hAnsi="Arial" w:cs="Arial"/>
          <w:b/>
          <w:color w:val="auto"/>
          <w:sz w:val="22"/>
          <w:szCs w:val="22"/>
        </w:rPr>
        <w:t xml:space="preserve">§ 9792.25.1 </w:t>
      </w:r>
      <w:r w:rsidR="0092383E" w:rsidRPr="005E20CB">
        <w:rPr>
          <w:rFonts w:ascii="Arial" w:hAnsi="Arial" w:cs="Arial"/>
          <w:b/>
          <w:color w:val="auto"/>
          <w:sz w:val="22"/>
          <w:szCs w:val="22"/>
        </w:rPr>
        <w:t xml:space="preserve">MTUS </w:t>
      </w:r>
      <w:r w:rsidRPr="005E20CB">
        <w:rPr>
          <w:rFonts w:ascii="Arial" w:hAnsi="Arial" w:cs="Arial"/>
          <w:b/>
          <w:color w:val="auto"/>
          <w:sz w:val="22"/>
          <w:szCs w:val="22"/>
        </w:rPr>
        <w:t>Method</w:t>
      </w:r>
      <w:r w:rsidR="0092383E" w:rsidRPr="005E20CB">
        <w:rPr>
          <w:rFonts w:ascii="Arial" w:hAnsi="Arial" w:cs="Arial"/>
          <w:b/>
          <w:color w:val="auto"/>
          <w:sz w:val="22"/>
          <w:szCs w:val="22"/>
        </w:rPr>
        <w:t>ology</w:t>
      </w:r>
      <w:r w:rsidRPr="005E20CB">
        <w:rPr>
          <w:rFonts w:ascii="Arial" w:hAnsi="Arial" w:cs="Arial"/>
          <w:b/>
          <w:color w:val="auto"/>
          <w:sz w:val="22"/>
          <w:szCs w:val="22"/>
        </w:rPr>
        <w:t xml:space="preserve"> for Evaluating </w:t>
      </w:r>
      <w:r w:rsidR="0092383E" w:rsidRPr="005E20CB">
        <w:rPr>
          <w:rFonts w:ascii="Arial" w:hAnsi="Arial" w:cs="Arial"/>
          <w:b/>
          <w:color w:val="auto"/>
          <w:sz w:val="22"/>
          <w:szCs w:val="22"/>
        </w:rPr>
        <w:t xml:space="preserve">Medical </w:t>
      </w:r>
      <w:r w:rsidRPr="005E20CB">
        <w:rPr>
          <w:rFonts w:ascii="Arial" w:hAnsi="Arial" w:cs="Arial"/>
          <w:b/>
          <w:color w:val="auto"/>
          <w:sz w:val="22"/>
          <w:szCs w:val="22"/>
        </w:rPr>
        <w:t xml:space="preserve">Evidence </w:t>
      </w:r>
    </w:p>
    <w:p w:rsidR="00297207" w:rsidRPr="005E20CB" w:rsidRDefault="00297207" w:rsidP="00670202">
      <w:pPr>
        <w:ind w:left="720"/>
        <w:rPr>
          <w:rFonts w:ascii="Arial" w:eastAsiaTheme="minorHAnsi" w:hAnsi="Arial" w:cs="Arial"/>
          <w:b/>
          <w:color w:val="auto"/>
          <w:sz w:val="22"/>
          <w:szCs w:val="22"/>
        </w:rPr>
      </w:pPr>
    </w:p>
    <w:p w:rsidR="00670202" w:rsidRPr="005E20CB" w:rsidRDefault="00670202" w:rsidP="0092383E">
      <w:pPr>
        <w:rPr>
          <w:rFonts w:ascii="Arial" w:eastAsiaTheme="minorHAnsi" w:hAnsi="Arial" w:cs="Arial"/>
          <w:b/>
          <w:color w:val="auto"/>
          <w:sz w:val="22"/>
          <w:szCs w:val="22"/>
        </w:rPr>
      </w:pPr>
      <w:r w:rsidRPr="005E20CB">
        <w:rPr>
          <w:rFonts w:ascii="Arial" w:eastAsiaTheme="minorHAnsi" w:hAnsi="Arial" w:cs="Arial"/>
          <w:b/>
          <w:color w:val="auto"/>
          <w:sz w:val="22"/>
          <w:szCs w:val="22"/>
        </w:rPr>
        <w:t xml:space="preserve">Recommendation </w:t>
      </w:r>
    </w:p>
    <w:p w:rsidR="00A7644B" w:rsidRPr="005E20CB" w:rsidRDefault="0092383E" w:rsidP="0092383E">
      <w:pPr>
        <w:pStyle w:val="ListParagraph"/>
        <w:numPr>
          <w:ilvl w:val="0"/>
          <w:numId w:val="14"/>
        </w:numPr>
        <w:jc w:val="both"/>
        <w:rPr>
          <w:rFonts w:ascii="Arial" w:hAnsi="Arial" w:cs="Arial"/>
          <w:color w:val="auto"/>
          <w:sz w:val="22"/>
          <w:szCs w:val="22"/>
        </w:rPr>
      </w:pPr>
      <w:r w:rsidRPr="005E20CB">
        <w:rPr>
          <w:rFonts w:ascii="Arial" w:eastAsiaTheme="minorHAnsi" w:hAnsi="Arial" w:cs="Arial"/>
          <w:color w:val="943634" w:themeColor="accent2" w:themeShade="BF"/>
          <w:sz w:val="22"/>
          <w:szCs w:val="22"/>
          <w:u w:val="single"/>
        </w:rPr>
        <w:t>When necessary to</w:t>
      </w:r>
      <w:r w:rsidR="00CF2BE1" w:rsidRPr="005E20CB">
        <w:rPr>
          <w:rFonts w:ascii="Arial" w:eastAsiaTheme="minorHAnsi" w:hAnsi="Arial" w:cs="Arial"/>
          <w:color w:val="943634" w:themeColor="accent2" w:themeShade="BF"/>
          <w:sz w:val="22"/>
          <w:szCs w:val="22"/>
          <w:u w:val="single"/>
        </w:rPr>
        <w:t xml:space="preserve"> </w:t>
      </w:r>
      <w:proofErr w:type="spellStart"/>
      <w:r w:rsidRPr="005E20CB">
        <w:rPr>
          <w:rFonts w:ascii="Arial" w:eastAsiaTheme="minorHAnsi" w:hAnsi="Arial" w:cs="Arial"/>
          <w:strike/>
          <w:color w:val="943634" w:themeColor="accent2" w:themeShade="BF"/>
          <w:sz w:val="22"/>
          <w:szCs w:val="22"/>
        </w:rPr>
        <w:t>To</w:t>
      </w:r>
      <w:proofErr w:type="spellEnd"/>
      <w:r w:rsidRPr="005E20CB">
        <w:rPr>
          <w:rFonts w:ascii="Arial" w:hAnsi="Arial" w:cs="Arial"/>
          <w:sz w:val="22"/>
          <w:szCs w:val="22"/>
        </w:rPr>
        <w:t xml:space="preserve"> evaluate the quality and strength of evidence used to support a </w:t>
      </w:r>
      <w:r w:rsidRPr="005E20CB">
        <w:rPr>
          <w:rFonts w:ascii="Arial" w:eastAsiaTheme="minorHAnsi" w:hAnsi="Arial" w:cs="Arial"/>
          <w:color w:val="943634" w:themeColor="accent2" w:themeShade="BF"/>
          <w:sz w:val="22"/>
          <w:szCs w:val="22"/>
          <w:u w:val="single"/>
        </w:rPr>
        <w:t>contested</w:t>
      </w:r>
      <w:r w:rsidRPr="005E20CB">
        <w:rPr>
          <w:rFonts w:ascii="Arial" w:hAnsi="Arial" w:cs="Arial"/>
          <w:sz w:val="22"/>
          <w:szCs w:val="22"/>
          <w:u w:val="single"/>
        </w:rPr>
        <w:t xml:space="preserve"> </w:t>
      </w:r>
      <w:r w:rsidRPr="005E20CB">
        <w:rPr>
          <w:rFonts w:ascii="Arial" w:hAnsi="Arial" w:cs="Arial"/>
          <w:sz w:val="22"/>
          <w:szCs w:val="22"/>
        </w:rPr>
        <w:t xml:space="preserve">recommendation </w:t>
      </w:r>
      <w:r w:rsidRPr="005E20CB">
        <w:rPr>
          <w:rFonts w:ascii="Arial" w:eastAsiaTheme="minorHAnsi" w:hAnsi="Arial" w:cs="Arial"/>
          <w:color w:val="943634" w:themeColor="accent2" w:themeShade="BF"/>
          <w:sz w:val="22"/>
          <w:szCs w:val="22"/>
          <w:u w:val="single"/>
        </w:rPr>
        <w:t>pursuant to section 9792.21.1, treating physicians</w:t>
      </w:r>
      <w:r w:rsidRPr="005E20CB">
        <w:rPr>
          <w:rFonts w:ascii="Arial" w:hAnsi="Arial" w:cs="Arial"/>
          <w:sz w:val="22"/>
          <w:szCs w:val="22"/>
        </w:rPr>
        <w:t xml:space="preserve">, </w:t>
      </w:r>
      <w:r w:rsidRPr="005E20CB">
        <w:rPr>
          <w:rFonts w:ascii="Arial" w:hAnsi="Arial" w:cs="Arial"/>
          <w:sz w:val="22"/>
          <w:szCs w:val="22"/>
        </w:rPr>
        <w:lastRenderedPageBreak/>
        <w:t xml:space="preserve">Utilization Review and Independent Medical Review physicians shall apply the MTUS Methodology for Evaluating Medical Evidence. </w:t>
      </w:r>
    </w:p>
    <w:p w:rsidR="00A16F04" w:rsidRPr="005E20CB" w:rsidRDefault="00A16F04" w:rsidP="00A16F04">
      <w:pPr>
        <w:ind w:left="720"/>
        <w:jc w:val="both"/>
        <w:rPr>
          <w:rFonts w:ascii="Arial" w:hAnsi="Arial" w:cs="Arial"/>
          <w:i/>
          <w:color w:val="943634"/>
          <w:sz w:val="22"/>
          <w:szCs w:val="22"/>
        </w:rPr>
      </w:pPr>
    </w:p>
    <w:p w:rsidR="00670202" w:rsidRPr="005E20CB" w:rsidRDefault="00670202" w:rsidP="0092383E">
      <w:pPr>
        <w:rPr>
          <w:rFonts w:ascii="Arial" w:eastAsiaTheme="minorHAnsi" w:hAnsi="Arial" w:cs="Arial"/>
          <w:b/>
          <w:color w:val="auto"/>
          <w:sz w:val="22"/>
          <w:szCs w:val="22"/>
        </w:rPr>
      </w:pPr>
      <w:r w:rsidRPr="005E20CB">
        <w:rPr>
          <w:rFonts w:ascii="Arial" w:eastAsiaTheme="minorHAnsi" w:hAnsi="Arial" w:cs="Arial"/>
          <w:b/>
          <w:color w:val="auto"/>
          <w:sz w:val="22"/>
          <w:szCs w:val="22"/>
        </w:rPr>
        <w:t xml:space="preserve">Discussion </w:t>
      </w:r>
    </w:p>
    <w:p w:rsidR="0092383E" w:rsidRPr="005E20CB" w:rsidRDefault="0092383E" w:rsidP="0092383E">
      <w:pPr>
        <w:ind w:left="720"/>
        <w:rPr>
          <w:rFonts w:ascii="Arial" w:eastAsiaTheme="minorHAnsi" w:hAnsi="Arial" w:cs="Arial"/>
          <w:i/>
          <w:color w:val="943634" w:themeColor="accent2" w:themeShade="BF"/>
          <w:sz w:val="22"/>
          <w:szCs w:val="22"/>
        </w:rPr>
      </w:pPr>
      <w:r w:rsidRPr="005E20CB">
        <w:rPr>
          <w:rFonts w:ascii="Arial" w:eastAsiaTheme="minorHAnsi" w:hAnsi="Arial" w:cs="Arial"/>
          <w:i/>
          <w:color w:val="943634" w:themeColor="accent2" w:themeShade="BF"/>
          <w:sz w:val="22"/>
          <w:szCs w:val="22"/>
        </w:rPr>
        <w:t xml:space="preserve">The recommended change clarifies that it is only necessary for physicians and reviewers to evaluate the quality and strength of evidence when section 9792.21.1 indicates </w:t>
      </w:r>
      <w:r w:rsidR="00AB3A3A" w:rsidRPr="005E20CB">
        <w:rPr>
          <w:rFonts w:ascii="Arial" w:eastAsiaTheme="minorHAnsi" w:hAnsi="Arial" w:cs="Arial"/>
          <w:i/>
          <w:color w:val="943634" w:themeColor="accent2" w:themeShade="BF"/>
          <w:sz w:val="22"/>
          <w:szCs w:val="22"/>
        </w:rPr>
        <w:t xml:space="preserve">that </w:t>
      </w:r>
      <w:r w:rsidRPr="005E20CB">
        <w:rPr>
          <w:rFonts w:ascii="Arial" w:eastAsiaTheme="minorHAnsi" w:hAnsi="Arial" w:cs="Arial"/>
          <w:i/>
          <w:color w:val="943634" w:themeColor="accent2" w:themeShade="BF"/>
          <w:sz w:val="22"/>
          <w:szCs w:val="22"/>
        </w:rPr>
        <w:t xml:space="preserve">it is necessary to do so.  This is a clarification that may eliminate unnecessary disputes over when medical reviewers must evaluate the quality and strength of evidence of recommendations.   </w:t>
      </w:r>
    </w:p>
    <w:p w:rsidR="00670202" w:rsidRPr="005E20CB" w:rsidRDefault="00670202" w:rsidP="00E33794">
      <w:pPr>
        <w:rPr>
          <w:rFonts w:ascii="Arial" w:eastAsiaTheme="minorHAnsi" w:hAnsi="Arial" w:cs="Arial"/>
          <w:b/>
          <w:color w:val="auto"/>
          <w:sz w:val="22"/>
          <w:szCs w:val="22"/>
        </w:rPr>
      </w:pPr>
    </w:p>
    <w:p w:rsidR="00E33794" w:rsidRPr="005E20CB" w:rsidRDefault="00E33794" w:rsidP="00E33794">
      <w:pPr>
        <w:rPr>
          <w:rFonts w:ascii="Arial" w:eastAsiaTheme="minorHAnsi" w:hAnsi="Arial" w:cs="Arial"/>
          <w:b/>
          <w:color w:val="auto"/>
          <w:sz w:val="22"/>
          <w:szCs w:val="22"/>
        </w:rPr>
      </w:pPr>
    </w:p>
    <w:p w:rsidR="00E33794" w:rsidRPr="005E20CB" w:rsidRDefault="00E33794" w:rsidP="00E33794">
      <w:pPr>
        <w:rPr>
          <w:rFonts w:ascii="Arial" w:eastAsiaTheme="minorHAnsi" w:hAnsi="Arial" w:cs="Arial"/>
          <w:color w:val="auto"/>
          <w:sz w:val="22"/>
          <w:szCs w:val="22"/>
        </w:rPr>
      </w:pPr>
      <w:r w:rsidRPr="005E20CB">
        <w:rPr>
          <w:rFonts w:ascii="Arial" w:hAnsi="Arial" w:cs="Arial"/>
          <w:b/>
          <w:color w:val="auto"/>
          <w:sz w:val="22"/>
          <w:szCs w:val="22"/>
        </w:rPr>
        <w:t>§ 9792.25.1(b)</w:t>
      </w:r>
    </w:p>
    <w:p w:rsidR="00993AC1" w:rsidRPr="005E20CB" w:rsidRDefault="00993AC1" w:rsidP="00E33794">
      <w:pPr>
        <w:ind w:left="720"/>
        <w:rPr>
          <w:rFonts w:ascii="Arial" w:eastAsiaTheme="minorHAnsi" w:hAnsi="Arial" w:cs="Arial"/>
          <w:i/>
          <w:color w:val="943634" w:themeColor="accent2" w:themeShade="BF"/>
          <w:sz w:val="22"/>
          <w:szCs w:val="22"/>
        </w:rPr>
      </w:pPr>
    </w:p>
    <w:p w:rsidR="00993AC1" w:rsidRPr="005E20CB" w:rsidRDefault="00993AC1" w:rsidP="00993AC1">
      <w:pPr>
        <w:rPr>
          <w:rFonts w:ascii="Arial" w:eastAsiaTheme="minorHAnsi" w:hAnsi="Arial" w:cs="Arial"/>
          <w:b/>
          <w:color w:val="auto"/>
          <w:sz w:val="22"/>
          <w:szCs w:val="22"/>
        </w:rPr>
      </w:pPr>
      <w:r w:rsidRPr="005E20CB">
        <w:rPr>
          <w:rFonts w:ascii="Arial" w:eastAsiaTheme="minorHAnsi" w:hAnsi="Arial" w:cs="Arial"/>
          <w:b/>
          <w:color w:val="auto"/>
          <w:sz w:val="22"/>
          <w:szCs w:val="22"/>
        </w:rPr>
        <w:t xml:space="preserve">Recommendation </w:t>
      </w:r>
    </w:p>
    <w:p w:rsidR="00E33794" w:rsidRPr="005E20CB" w:rsidRDefault="00E33794" w:rsidP="00E33794">
      <w:pPr>
        <w:ind w:left="720"/>
        <w:rPr>
          <w:rFonts w:ascii="Arial" w:eastAsiaTheme="minorHAnsi" w:hAnsi="Arial" w:cs="Arial"/>
          <w:i/>
          <w:color w:val="943634" w:themeColor="accent2" w:themeShade="BF"/>
          <w:sz w:val="22"/>
          <w:szCs w:val="22"/>
        </w:rPr>
      </w:pPr>
      <w:r w:rsidRPr="005E20CB">
        <w:rPr>
          <w:rFonts w:ascii="Arial" w:eastAsiaTheme="minorHAnsi" w:hAnsi="Arial" w:cs="Arial"/>
          <w:i/>
          <w:color w:val="943634" w:themeColor="accent2" w:themeShade="BF"/>
          <w:sz w:val="22"/>
          <w:szCs w:val="22"/>
        </w:rPr>
        <w:t xml:space="preserve">While the Institute strongly supports the proposed general approach to determining the quality and strength of evidence, the Institute suggests retaining the existing methodology for determining the strength of evidence.  The ACOEM Treatment Guidelines underlie the bulk of the MTUS and ACOEM provides </w:t>
      </w:r>
      <w:r w:rsidR="000B5373" w:rsidRPr="005E20CB">
        <w:rPr>
          <w:rFonts w:ascii="Arial" w:eastAsiaTheme="minorHAnsi" w:hAnsi="Arial" w:cs="Arial"/>
          <w:i/>
          <w:color w:val="943634" w:themeColor="accent2" w:themeShade="BF"/>
          <w:sz w:val="22"/>
          <w:szCs w:val="22"/>
        </w:rPr>
        <w:t xml:space="preserve">a </w:t>
      </w:r>
      <w:r w:rsidRPr="005E20CB">
        <w:rPr>
          <w:rFonts w:ascii="Arial" w:eastAsiaTheme="minorHAnsi" w:hAnsi="Arial" w:cs="Arial"/>
          <w:i/>
          <w:color w:val="943634" w:themeColor="accent2" w:themeShade="BF"/>
          <w:sz w:val="22"/>
          <w:szCs w:val="22"/>
        </w:rPr>
        <w:t>strength</w:t>
      </w:r>
      <w:r w:rsidR="000B5373" w:rsidRPr="005E20CB">
        <w:rPr>
          <w:rFonts w:ascii="Arial" w:eastAsiaTheme="minorHAnsi" w:hAnsi="Arial" w:cs="Arial"/>
          <w:i/>
          <w:color w:val="943634" w:themeColor="accent2" w:themeShade="BF"/>
          <w:sz w:val="22"/>
          <w:szCs w:val="22"/>
        </w:rPr>
        <w:t>-</w:t>
      </w:r>
      <w:r w:rsidRPr="005E20CB">
        <w:rPr>
          <w:rFonts w:ascii="Arial" w:eastAsiaTheme="minorHAnsi" w:hAnsi="Arial" w:cs="Arial"/>
          <w:i/>
          <w:color w:val="943634" w:themeColor="accent2" w:themeShade="BF"/>
          <w:sz w:val="22"/>
          <w:szCs w:val="22"/>
        </w:rPr>
        <w:t>of</w:t>
      </w:r>
      <w:r w:rsidR="000B5373" w:rsidRPr="005E20CB">
        <w:rPr>
          <w:rFonts w:ascii="Arial" w:eastAsiaTheme="minorHAnsi" w:hAnsi="Arial" w:cs="Arial"/>
          <w:i/>
          <w:color w:val="943634" w:themeColor="accent2" w:themeShade="BF"/>
          <w:sz w:val="22"/>
          <w:szCs w:val="22"/>
        </w:rPr>
        <w:t>-</w:t>
      </w:r>
      <w:r w:rsidRPr="005E20CB">
        <w:rPr>
          <w:rFonts w:ascii="Arial" w:eastAsiaTheme="minorHAnsi" w:hAnsi="Arial" w:cs="Arial"/>
          <w:i/>
          <w:color w:val="943634" w:themeColor="accent2" w:themeShade="BF"/>
          <w:sz w:val="22"/>
          <w:szCs w:val="22"/>
        </w:rPr>
        <w:t>evidence rating for each of its individual recommendations. If ACOEM’s strength</w:t>
      </w:r>
      <w:r w:rsidR="000B5373" w:rsidRPr="005E20CB">
        <w:rPr>
          <w:rFonts w:ascii="Arial" w:eastAsiaTheme="minorHAnsi" w:hAnsi="Arial" w:cs="Arial"/>
          <w:i/>
          <w:color w:val="943634" w:themeColor="accent2" w:themeShade="BF"/>
          <w:sz w:val="22"/>
          <w:szCs w:val="22"/>
        </w:rPr>
        <w:t>-</w:t>
      </w:r>
      <w:r w:rsidRPr="005E20CB">
        <w:rPr>
          <w:rFonts w:ascii="Arial" w:eastAsiaTheme="minorHAnsi" w:hAnsi="Arial" w:cs="Arial"/>
          <w:i/>
          <w:color w:val="943634" w:themeColor="accent2" w:themeShade="BF"/>
          <w:sz w:val="22"/>
          <w:szCs w:val="22"/>
        </w:rPr>
        <w:t>of</w:t>
      </w:r>
      <w:r w:rsidR="000B5373" w:rsidRPr="005E20CB">
        <w:rPr>
          <w:rFonts w:ascii="Arial" w:eastAsiaTheme="minorHAnsi" w:hAnsi="Arial" w:cs="Arial"/>
          <w:i/>
          <w:color w:val="943634" w:themeColor="accent2" w:themeShade="BF"/>
          <w:sz w:val="22"/>
          <w:szCs w:val="22"/>
        </w:rPr>
        <w:t>-</w:t>
      </w:r>
      <w:r w:rsidRPr="005E20CB">
        <w:rPr>
          <w:rFonts w:ascii="Arial" w:eastAsiaTheme="minorHAnsi" w:hAnsi="Arial" w:cs="Arial"/>
          <w:i/>
          <w:color w:val="943634" w:themeColor="accent2" w:themeShade="BF"/>
          <w:sz w:val="22"/>
          <w:szCs w:val="22"/>
        </w:rPr>
        <w:t xml:space="preserve">evidence standards are retained in the regulations, physicians and reviewers need only compare the strength of evidence supporting non-ACOEM recommendations. This will significantly reduce the number of disagreements and the time and resources needed to identify recommendations supported by the strongest evidence. If the Administrative Director decides not to retain the current methodology, the Institute recommends instead that the MTUS include the strength of evidence underlying each recommendation in the MTUS as evaluated under the new methodology. </w:t>
      </w:r>
    </w:p>
    <w:p w:rsidR="00715F04" w:rsidRPr="005E20CB" w:rsidRDefault="00715F04" w:rsidP="00E33794">
      <w:pPr>
        <w:rPr>
          <w:rFonts w:ascii="Arial" w:eastAsiaTheme="minorHAnsi" w:hAnsi="Arial" w:cs="Arial"/>
          <w:b/>
          <w:color w:val="auto"/>
          <w:sz w:val="22"/>
          <w:szCs w:val="22"/>
        </w:rPr>
      </w:pPr>
    </w:p>
    <w:p w:rsidR="00A7644B" w:rsidRPr="005E20CB" w:rsidRDefault="00A7644B" w:rsidP="00281AFD">
      <w:pPr>
        <w:keepLines/>
        <w:tabs>
          <w:tab w:val="left" w:pos="900"/>
        </w:tabs>
        <w:rPr>
          <w:rFonts w:ascii="Arial" w:hAnsi="Arial" w:cs="Arial"/>
          <w:sz w:val="22"/>
          <w:szCs w:val="22"/>
        </w:rPr>
      </w:pPr>
    </w:p>
    <w:p w:rsidR="00281AFD" w:rsidRPr="005E20CB" w:rsidRDefault="00281AFD" w:rsidP="00281AFD">
      <w:pPr>
        <w:keepLines/>
        <w:tabs>
          <w:tab w:val="left" w:pos="900"/>
        </w:tabs>
        <w:rPr>
          <w:rFonts w:ascii="Arial" w:hAnsi="Arial" w:cs="Arial"/>
          <w:sz w:val="22"/>
          <w:szCs w:val="22"/>
        </w:rPr>
      </w:pPr>
      <w:r w:rsidRPr="005E20CB">
        <w:rPr>
          <w:rFonts w:ascii="Arial" w:hAnsi="Arial" w:cs="Arial"/>
          <w:sz w:val="22"/>
          <w:szCs w:val="22"/>
        </w:rPr>
        <w:t xml:space="preserve">Thank you for considering these recommendations and comments.  Please contact me if additional clarification </w:t>
      </w:r>
      <w:r w:rsidR="006055C5" w:rsidRPr="005E20CB">
        <w:rPr>
          <w:rFonts w:ascii="Arial" w:hAnsi="Arial" w:cs="Arial"/>
          <w:sz w:val="22"/>
          <w:szCs w:val="22"/>
        </w:rPr>
        <w:t>would be helpful</w:t>
      </w:r>
      <w:r w:rsidRPr="005E20CB">
        <w:rPr>
          <w:rFonts w:ascii="Arial" w:hAnsi="Arial" w:cs="Arial"/>
          <w:sz w:val="22"/>
          <w:szCs w:val="22"/>
        </w:rPr>
        <w:t>.</w:t>
      </w:r>
    </w:p>
    <w:p w:rsidR="00281AFD" w:rsidRPr="005E20CB" w:rsidRDefault="00281AFD" w:rsidP="00281AFD">
      <w:pPr>
        <w:keepLines/>
        <w:tabs>
          <w:tab w:val="left" w:pos="900"/>
        </w:tabs>
        <w:rPr>
          <w:rFonts w:ascii="Arial" w:hAnsi="Arial" w:cs="Arial"/>
          <w:sz w:val="22"/>
          <w:szCs w:val="22"/>
        </w:rPr>
      </w:pPr>
    </w:p>
    <w:p w:rsidR="00281AFD" w:rsidRPr="005E20CB" w:rsidRDefault="00281AFD" w:rsidP="00281AFD">
      <w:pPr>
        <w:keepLines/>
        <w:tabs>
          <w:tab w:val="left" w:pos="900"/>
        </w:tabs>
        <w:rPr>
          <w:rFonts w:ascii="Arial" w:hAnsi="Arial" w:cs="Arial"/>
          <w:sz w:val="22"/>
          <w:szCs w:val="22"/>
        </w:rPr>
      </w:pPr>
      <w:r w:rsidRPr="005E20CB">
        <w:rPr>
          <w:rFonts w:ascii="Arial" w:hAnsi="Arial" w:cs="Arial"/>
          <w:sz w:val="22"/>
          <w:szCs w:val="22"/>
        </w:rPr>
        <w:t xml:space="preserve">Sincerely, </w:t>
      </w:r>
    </w:p>
    <w:p w:rsidR="00281AFD" w:rsidRPr="005E20CB" w:rsidRDefault="00281AFD" w:rsidP="00281AFD">
      <w:pPr>
        <w:keepLines/>
        <w:tabs>
          <w:tab w:val="left" w:pos="900"/>
        </w:tabs>
        <w:rPr>
          <w:rFonts w:ascii="Arial" w:hAnsi="Arial" w:cs="Arial"/>
          <w:sz w:val="22"/>
          <w:szCs w:val="22"/>
        </w:rPr>
      </w:pPr>
    </w:p>
    <w:p w:rsidR="00C34554" w:rsidRPr="005E20CB" w:rsidRDefault="00C34554" w:rsidP="00281AFD">
      <w:pPr>
        <w:keepLines/>
        <w:tabs>
          <w:tab w:val="left" w:pos="900"/>
        </w:tabs>
        <w:rPr>
          <w:rFonts w:ascii="Arial" w:hAnsi="Arial" w:cs="Arial"/>
          <w:sz w:val="22"/>
          <w:szCs w:val="22"/>
        </w:rPr>
      </w:pPr>
    </w:p>
    <w:p w:rsidR="00281AFD" w:rsidRPr="005E20CB" w:rsidRDefault="00281AFD" w:rsidP="00281AFD">
      <w:pPr>
        <w:keepLines/>
        <w:tabs>
          <w:tab w:val="left" w:pos="900"/>
        </w:tabs>
        <w:rPr>
          <w:rFonts w:ascii="Arial" w:hAnsi="Arial" w:cs="Arial"/>
          <w:sz w:val="22"/>
          <w:szCs w:val="22"/>
        </w:rPr>
      </w:pPr>
    </w:p>
    <w:p w:rsidR="00281AFD" w:rsidRPr="005E20CB" w:rsidRDefault="00281AFD" w:rsidP="00281AFD">
      <w:pPr>
        <w:keepLines/>
        <w:tabs>
          <w:tab w:val="left" w:pos="900"/>
        </w:tabs>
        <w:rPr>
          <w:rFonts w:ascii="Arial" w:hAnsi="Arial" w:cs="Arial"/>
          <w:sz w:val="22"/>
          <w:szCs w:val="22"/>
        </w:rPr>
      </w:pPr>
      <w:r w:rsidRPr="005E20CB">
        <w:rPr>
          <w:rFonts w:ascii="Arial" w:hAnsi="Arial" w:cs="Arial"/>
          <w:sz w:val="22"/>
          <w:szCs w:val="22"/>
        </w:rPr>
        <w:t>Brenda Ramirez</w:t>
      </w:r>
    </w:p>
    <w:p w:rsidR="00281AFD" w:rsidRPr="005E20CB" w:rsidRDefault="00281AFD" w:rsidP="00281AFD">
      <w:pPr>
        <w:keepLines/>
        <w:tabs>
          <w:tab w:val="left" w:pos="900"/>
        </w:tabs>
        <w:rPr>
          <w:rFonts w:ascii="Arial" w:hAnsi="Arial" w:cs="Arial"/>
          <w:sz w:val="22"/>
          <w:szCs w:val="22"/>
        </w:rPr>
      </w:pPr>
      <w:r w:rsidRPr="005E20CB">
        <w:rPr>
          <w:rFonts w:ascii="Arial" w:hAnsi="Arial" w:cs="Arial"/>
          <w:sz w:val="22"/>
          <w:szCs w:val="22"/>
        </w:rPr>
        <w:t>Claims &amp; Medical Director</w:t>
      </w:r>
    </w:p>
    <w:p w:rsidR="00783959" w:rsidRPr="005E20CB" w:rsidRDefault="00783959" w:rsidP="00281AFD">
      <w:pPr>
        <w:keepLines/>
        <w:tabs>
          <w:tab w:val="left" w:pos="900"/>
        </w:tabs>
        <w:rPr>
          <w:rFonts w:ascii="Arial" w:hAnsi="Arial" w:cs="Arial"/>
          <w:sz w:val="22"/>
          <w:szCs w:val="22"/>
        </w:rPr>
      </w:pPr>
    </w:p>
    <w:p w:rsidR="00281AFD" w:rsidRPr="005E20CB" w:rsidRDefault="00281AFD" w:rsidP="00281AFD">
      <w:pPr>
        <w:keepLines/>
        <w:tabs>
          <w:tab w:val="left" w:pos="900"/>
        </w:tabs>
        <w:rPr>
          <w:rFonts w:ascii="Arial" w:hAnsi="Arial" w:cs="Arial"/>
          <w:sz w:val="22"/>
          <w:szCs w:val="22"/>
        </w:rPr>
      </w:pPr>
      <w:r w:rsidRPr="005E20CB">
        <w:rPr>
          <w:rFonts w:ascii="Arial" w:hAnsi="Arial" w:cs="Arial"/>
          <w:sz w:val="22"/>
          <w:szCs w:val="22"/>
        </w:rPr>
        <w:t>BR/pm</w:t>
      </w:r>
    </w:p>
    <w:p w:rsidR="006055C5" w:rsidRPr="005E20CB" w:rsidRDefault="006055C5" w:rsidP="00281AFD">
      <w:pPr>
        <w:keepLines/>
        <w:tabs>
          <w:tab w:val="left" w:pos="900"/>
        </w:tabs>
        <w:rPr>
          <w:rFonts w:ascii="Arial" w:hAnsi="Arial" w:cs="Arial"/>
          <w:sz w:val="22"/>
          <w:szCs w:val="22"/>
        </w:rPr>
      </w:pPr>
    </w:p>
    <w:p w:rsidR="00281AFD" w:rsidRPr="005E20CB" w:rsidRDefault="00281AFD" w:rsidP="00281AFD">
      <w:pPr>
        <w:keepLines/>
        <w:tabs>
          <w:tab w:val="left" w:pos="900"/>
        </w:tabs>
        <w:rPr>
          <w:rFonts w:ascii="Arial" w:hAnsi="Arial" w:cs="Arial"/>
          <w:sz w:val="22"/>
          <w:szCs w:val="22"/>
        </w:rPr>
      </w:pPr>
      <w:r w:rsidRPr="005E20CB">
        <w:rPr>
          <w:rFonts w:ascii="Arial" w:hAnsi="Arial" w:cs="Arial"/>
          <w:sz w:val="22"/>
          <w:szCs w:val="22"/>
        </w:rPr>
        <w:t>cc:   Christine Baker, DIR Director</w:t>
      </w:r>
    </w:p>
    <w:p w:rsidR="00281AFD" w:rsidRPr="005E20CB" w:rsidRDefault="00281AFD" w:rsidP="00281AFD">
      <w:pPr>
        <w:keepLines/>
        <w:tabs>
          <w:tab w:val="left" w:pos="900"/>
        </w:tabs>
        <w:rPr>
          <w:rFonts w:ascii="Arial" w:hAnsi="Arial" w:cs="Arial"/>
          <w:sz w:val="22"/>
          <w:szCs w:val="22"/>
        </w:rPr>
      </w:pPr>
      <w:r w:rsidRPr="005E20CB">
        <w:rPr>
          <w:rFonts w:ascii="Arial" w:hAnsi="Arial" w:cs="Arial"/>
          <w:sz w:val="22"/>
          <w:szCs w:val="22"/>
        </w:rPr>
        <w:t xml:space="preserve">        </w:t>
      </w:r>
      <w:proofErr w:type="spellStart"/>
      <w:r w:rsidRPr="005E20CB">
        <w:rPr>
          <w:rFonts w:ascii="Arial" w:hAnsi="Arial" w:cs="Arial"/>
          <w:sz w:val="22"/>
          <w:szCs w:val="22"/>
        </w:rPr>
        <w:t>Destie</w:t>
      </w:r>
      <w:proofErr w:type="spellEnd"/>
      <w:r w:rsidRPr="005E20CB">
        <w:rPr>
          <w:rFonts w:ascii="Arial" w:hAnsi="Arial" w:cs="Arial"/>
          <w:sz w:val="22"/>
          <w:szCs w:val="22"/>
        </w:rPr>
        <w:t xml:space="preserve"> </w:t>
      </w:r>
      <w:proofErr w:type="spellStart"/>
      <w:r w:rsidRPr="005E20CB">
        <w:rPr>
          <w:rFonts w:ascii="Arial" w:hAnsi="Arial" w:cs="Arial"/>
          <w:sz w:val="22"/>
          <w:szCs w:val="22"/>
        </w:rPr>
        <w:t>Overpeck</w:t>
      </w:r>
      <w:proofErr w:type="spellEnd"/>
      <w:r w:rsidRPr="005E20CB">
        <w:rPr>
          <w:rFonts w:ascii="Arial" w:hAnsi="Arial" w:cs="Arial"/>
          <w:sz w:val="22"/>
          <w:szCs w:val="22"/>
        </w:rPr>
        <w:t>, DWC Acting Administrative Director</w:t>
      </w:r>
    </w:p>
    <w:p w:rsidR="00281AFD" w:rsidRPr="005E20CB" w:rsidRDefault="00281AFD" w:rsidP="00281AFD">
      <w:pPr>
        <w:keepLines/>
        <w:tabs>
          <w:tab w:val="left" w:pos="900"/>
        </w:tabs>
        <w:rPr>
          <w:rFonts w:ascii="Arial" w:hAnsi="Arial" w:cs="Arial"/>
          <w:sz w:val="22"/>
          <w:szCs w:val="22"/>
        </w:rPr>
      </w:pPr>
      <w:r w:rsidRPr="005E20CB">
        <w:rPr>
          <w:rFonts w:ascii="Arial" w:hAnsi="Arial" w:cs="Arial"/>
          <w:sz w:val="22"/>
          <w:szCs w:val="22"/>
        </w:rPr>
        <w:t xml:space="preserve">        Dr. </w:t>
      </w:r>
      <w:proofErr w:type="spellStart"/>
      <w:r w:rsidR="00A643A1">
        <w:rPr>
          <w:rFonts w:ascii="Arial" w:hAnsi="Arial" w:cs="Arial"/>
          <w:sz w:val="22"/>
          <w:szCs w:val="22"/>
        </w:rPr>
        <w:t>Rupali</w:t>
      </w:r>
      <w:proofErr w:type="spellEnd"/>
      <w:r w:rsidR="00A643A1">
        <w:rPr>
          <w:rFonts w:ascii="Arial" w:hAnsi="Arial" w:cs="Arial"/>
          <w:sz w:val="22"/>
          <w:szCs w:val="22"/>
        </w:rPr>
        <w:t xml:space="preserve"> </w:t>
      </w:r>
      <w:r w:rsidRPr="005E20CB">
        <w:rPr>
          <w:rFonts w:ascii="Arial" w:hAnsi="Arial" w:cs="Arial"/>
          <w:sz w:val="22"/>
          <w:szCs w:val="22"/>
        </w:rPr>
        <w:t>Das, DWC Executive Medical Director</w:t>
      </w:r>
    </w:p>
    <w:p w:rsidR="008308DE" w:rsidRPr="005E20CB" w:rsidRDefault="008308DE" w:rsidP="00281AFD">
      <w:pPr>
        <w:keepLines/>
        <w:tabs>
          <w:tab w:val="left" w:pos="900"/>
        </w:tabs>
        <w:rPr>
          <w:rFonts w:ascii="Arial" w:hAnsi="Arial" w:cs="Arial"/>
          <w:sz w:val="22"/>
          <w:szCs w:val="22"/>
        </w:rPr>
      </w:pPr>
      <w:r w:rsidRPr="005E20CB">
        <w:rPr>
          <w:rFonts w:ascii="Arial" w:hAnsi="Arial" w:cs="Arial"/>
          <w:sz w:val="22"/>
          <w:szCs w:val="22"/>
        </w:rPr>
        <w:t xml:space="preserve">        John Corte</w:t>
      </w:r>
      <w:r w:rsidR="00A7644B" w:rsidRPr="005E20CB">
        <w:rPr>
          <w:rFonts w:ascii="Arial" w:hAnsi="Arial" w:cs="Arial"/>
          <w:sz w:val="22"/>
          <w:szCs w:val="22"/>
        </w:rPr>
        <w:t>s</w:t>
      </w:r>
      <w:r w:rsidRPr="005E20CB">
        <w:rPr>
          <w:rFonts w:ascii="Arial" w:hAnsi="Arial" w:cs="Arial"/>
          <w:sz w:val="22"/>
          <w:szCs w:val="22"/>
        </w:rPr>
        <w:t>, DWC Attorney</w:t>
      </w:r>
    </w:p>
    <w:p w:rsidR="00281AFD" w:rsidRPr="005E20CB" w:rsidRDefault="00281AFD" w:rsidP="00281AFD">
      <w:pPr>
        <w:keepLines/>
        <w:tabs>
          <w:tab w:val="left" w:pos="900"/>
        </w:tabs>
        <w:rPr>
          <w:rFonts w:ascii="Arial" w:hAnsi="Arial" w:cs="Arial"/>
          <w:sz w:val="22"/>
          <w:szCs w:val="22"/>
        </w:rPr>
      </w:pPr>
      <w:r w:rsidRPr="005E20CB">
        <w:rPr>
          <w:rFonts w:ascii="Arial" w:hAnsi="Arial" w:cs="Arial"/>
          <w:sz w:val="22"/>
          <w:szCs w:val="22"/>
        </w:rPr>
        <w:t xml:space="preserve">        CWCI Claims Committee</w:t>
      </w:r>
    </w:p>
    <w:p w:rsidR="00281AFD" w:rsidRPr="005E20CB" w:rsidRDefault="00281AFD" w:rsidP="00281AFD">
      <w:pPr>
        <w:keepLines/>
        <w:tabs>
          <w:tab w:val="left" w:pos="900"/>
        </w:tabs>
        <w:rPr>
          <w:rFonts w:ascii="Arial" w:hAnsi="Arial" w:cs="Arial"/>
          <w:sz w:val="22"/>
          <w:szCs w:val="22"/>
        </w:rPr>
      </w:pPr>
      <w:r w:rsidRPr="005E20CB">
        <w:rPr>
          <w:rFonts w:ascii="Arial" w:hAnsi="Arial" w:cs="Arial"/>
          <w:sz w:val="22"/>
          <w:szCs w:val="22"/>
        </w:rPr>
        <w:t xml:space="preserve">        CWCI Medical Care Committee</w:t>
      </w:r>
    </w:p>
    <w:p w:rsidR="00281AFD" w:rsidRPr="005E20CB" w:rsidRDefault="00281AFD" w:rsidP="00281AFD">
      <w:pPr>
        <w:keepLines/>
        <w:tabs>
          <w:tab w:val="left" w:pos="900"/>
        </w:tabs>
        <w:rPr>
          <w:rFonts w:ascii="Arial" w:hAnsi="Arial" w:cs="Arial"/>
          <w:sz w:val="22"/>
          <w:szCs w:val="22"/>
        </w:rPr>
      </w:pPr>
      <w:r w:rsidRPr="005E20CB">
        <w:rPr>
          <w:rFonts w:ascii="Arial" w:hAnsi="Arial" w:cs="Arial"/>
          <w:sz w:val="22"/>
          <w:szCs w:val="22"/>
        </w:rPr>
        <w:t xml:space="preserve">        CWCI Regular Members</w:t>
      </w:r>
    </w:p>
    <w:p w:rsidR="00281AFD" w:rsidRPr="005E20CB" w:rsidRDefault="00281AFD" w:rsidP="00281AFD">
      <w:pPr>
        <w:keepLines/>
        <w:tabs>
          <w:tab w:val="left" w:pos="900"/>
        </w:tabs>
        <w:rPr>
          <w:rFonts w:ascii="Arial" w:hAnsi="Arial" w:cs="Arial"/>
          <w:sz w:val="22"/>
          <w:szCs w:val="22"/>
        </w:rPr>
      </w:pPr>
      <w:r w:rsidRPr="005E20CB">
        <w:rPr>
          <w:rFonts w:ascii="Arial" w:hAnsi="Arial" w:cs="Arial"/>
          <w:sz w:val="22"/>
          <w:szCs w:val="22"/>
        </w:rPr>
        <w:t xml:space="preserve">        CWCI Associate Members</w:t>
      </w:r>
    </w:p>
    <w:p w:rsidR="0018322E" w:rsidRPr="005E20CB" w:rsidRDefault="00281AFD" w:rsidP="00281AFD">
      <w:pPr>
        <w:keepLines/>
        <w:tabs>
          <w:tab w:val="left" w:pos="900"/>
        </w:tabs>
        <w:rPr>
          <w:rFonts w:ascii="Arial" w:hAnsi="Arial" w:cs="Arial"/>
          <w:sz w:val="22"/>
          <w:szCs w:val="22"/>
        </w:rPr>
      </w:pPr>
      <w:r w:rsidRPr="005E20CB">
        <w:rPr>
          <w:rFonts w:ascii="Arial" w:hAnsi="Arial" w:cs="Arial"/>
          <w:sz w:val="22"/>
          <w:szCs w:val="22"/>
        </w:rPr>
        <w:t xml:space="preserve">        CWCI Legal Committee </w:t>
      </w:r>
    </w:p>
    <w:sectPr w:rsidR="0018322E" w:rsidRPr="005E20CB" w:rsidSect="003F5E7F">
      <w:footerReference w:type="default" r:id="rId11"/>
      <w:pgSz w:w="12240" w:h="15840"/>
      <w:pgMar w:top="126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662" w:rsidRDefault="00170662" w:rsidP="009C6F3D">
      <w:r>
        <w:separator/>
      </w:r>
    </w:p>
  </w:endnote>
  <w:endnote w:type="continuationSeparator" w:id="0">
    <w:p w:rsidR="00170662" w:rsidRDefault="00170662" w:rsidP="009C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lliard-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F5E" w:rsidRDefault="00082F5E">
    <w:pPr>
      <w:pStyle w:val="Footer"/>
      <w:jc w:val="right"/>
    </w:pPr>
    <w:r>
      <w:fldChar w:fldCharType="begin"/>
    </w:r>
    <w:r>
      <w:instrText xml:space="preserve"> PAGE   \* MERGEFORMAT </w:instrText>
    </w:r>
    <w:r>
      <w:fldChar w:fldCharType="separate"/>
    </w:r>
    <w:r w:rsidR="00E54607">
      <w:rPr>
        <w:noProof/>
      </w:rPr>
      <w:t>1</w:t>
    </w:r>
    <w:r>
      <w:rPr>
        <w:noProof/>
      </w:rPr>
      <w:fldChar w:fldCharType="end"/>
    </w:r>
  </w:p>
  <w:p w:rsidR="00082F5E" w:rsidRDefault="00082F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662" w:rsidRDefault="00170662" w:rsidP="009C6F3D">
      <w:r>
        <w:separator/>
      </w:r>
    </w:p>
  </w:footnote>
  <w:footnote w:type="continuationSeparator" w:id="0">
    <w:p w:rsidR="00170662" w:rsidRDefault="00170662" w:rsidP="009C6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62D8"/>
    <w:multiLevelType w:val="hybridMultilevel"/>
    <w:tmpl w:val="4D6E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43490"/>
    <w:multiLevelType w:val="hybridMultilevel"/>
    <w:tmpl w:val="4E1A9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8FC0750"/>
    <w:multiLevelType w:val="hybridMultilevel"/>
    <w:tmpl w:val="89D42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F3D5969"/>
    <w:multiLevelType w:val="hybridMultilevel"/>
    <w:tmpl w:val="3FD0A3BA"/>
    <w:lvl w:ilvl="0" w:tplc="42725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9331AB"/>
    <w:multiLevelType w:val="hybridMultilevel"/>
    <w:tmpl w:val="46BC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1A7921"/>
    <w:multiLevelType w:val="hybridMultilevel"/>
    <w:tmpl w:val="6B0E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1336C1"/>
    <w:multiLevelType w:val="hybridMultilevel"/>
    <w:tmpl w:val="8D2C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D7348E"/>
    <w:multiLevelType w:val="hybridMultilevel"/>
    <w:tmpl w:val="F1F85A24"/>
    <w:lvl w:ilvl="0" w:tplc="0CEE50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AF0E77"/>
    <w:multiLevelType w:val="hybridMultilevel"/>
    <w:tmpl w:val="E5629C52"/>
    <w:lvl w:ilvl="0" w:tplc="5E36D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A0003B"/>
    <w:multiLevelType w:val="hybridMultilevel"/>
    <w:tmpl w:val="0D2A4DC6"/>
    <w:lvl w:ilvl="0" w:tplc="B9E2C6F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5B35555"/>
    <w:multiLevelType w:val="hybridMultilevel"/>
    <w:tmpl w:val="D4508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B9B5AD7"/>
    <w:multiLevelType w:val="hybridMultilevel"/>
    <w:tmpl w:val="4404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950592"/>
    <w:multiLevelType w:val="hybridMultilevel"/>
    <w:tmpl w:val="C7F2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E52724"/>
    <w:multiLevelType w:val="hybridMultilevel"/>
    <w:tmpl w:val="A0E61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13"/>
  </w:num>
  <w:num w:numId="4">
    <w:abstractNumId w:val="10"/>
  </w:num>
  <w:num w:numId="5">
    <w:abstractNumId w:val="8"/>
  </w:num>
  <w:num w:numId="6">
    <w:abstractNumId w:val="5"/>
  </w:num>
  <w:num w:numId="7">
    <w:abstractNumId w:val="0"/>
  </w:num>
  <w:num w:numId="8">
    <w:abstractNumId w:val="6"/>
  </w:num>
  <w:num w:numId="9">
    <w:abstractNumId w:val="4"/>
  </w:num>
  <w:num w:numId="10">
    <w:abstractNumId w:val="2"/>
  </w:num>
  <w:num w:numId="11">
    <w:abstractNumId w:val="9"/>
  </w:num>
  <w:num w:numId="12">
    <w:abstractNumId w:val="3"/>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F64"/>
    <w:rsid w:val="00000407"/>
    <w:rsid w:val="000021F0"/>
    <w:rsid w:val="000023E9"/>
    <w:rsid w:val="00004BBE"/>
    <w:rsid w:val="00004D94"/>
    <w:rsid w:val="00005BF3"/>
    <w:rsid w:val="0001030C"/>
    <w:rsid w:val="00010A47"/>
    <w:rsid w:val="00011283"/>
    <w:rsid w:val="00012A1A"/>
    <w:rsid w:val="00013504"/>
    <w:rsid w:val="00013681"/>
    <w:rsid w:val="0001439F"/>
    <w:rsid w:val="00016082"/>
    <w:rsid w:val="0002177C"/>
    <w:rsid w:val="000234A6"/>
    <w:rsid w:val="00026F34"/>
    <w:rsid w:val="00027182"/>
    <w:rsid w:val="00027B0A"/>
    <w:rsid w:val="00027C6B"/>
    <w:rsid w:val="0003022F"/>
    <w:rsid w:val="00030BF5"/>
    <w:rsid w:val="0003189C"/>
    <w:rsid w:val="00031B84"/>
    <w:rsid w:val="00034A0F"/>
    <w:rsid w:val="00035D5B"/>
    <w:rsid w:val="000376EC"/>
    <w:rsid w:val="00040BB0"/>
    <w:rsid w:val="00040C7B"/>
    <w:rsid w:val="00041512"/>
    <w:rsid w:val="0004294E"/>
    <w:rsid w:val="00042FDB"/>
    <w:rsid w:val="0004303B"/>
    <w:rsid w:val="00043A57"/>
    <w:rsid w:val="00045DA6"/>
    <w:rsid w:val="0004602E"/>
    <w:rsid w:val="00046F87"/>
    <w:rsid w:val="000522D7"/>
    <w:rsid w:val="00056C53"/>
    <w:rsid w:val="00057205"/>
    <w:rsid w:val="00061C2F"/>
    <w:rsid w:val="000628B0"/>
    <w:rsid w:val="000665F3"/>
    <w:rsid w:val="00066D1D"/>
    <w:rsid w:val="00067D12"/>
    <w:rsid w:val="00067F7F"/>
    <w:rsid w:val="000710FF"/>
    <w:rsid w:val="000774DE"/>
    <w:rsid w:val="00077A1A"/>
    <w:rsid w:val="00082F5E"/>
    <w:rsid w:val="00083C60"/>
    <w:rsid w:val="00084251"/>
    <w:rsid w:val="0008535B"/>
    <w:rsid w:val="00085F0B"/>
    <w:rsid w:val="000907E6"/>
    <w:rsid w:val="0009123D"/>
    <w:rsid w:val="000929A5"/>
    <w:rsid w:val="00094797"/>
    <w:rsid w:val="0009486E"/>
    <w:rsid w:val="0009540D"/>
    <w:rsid w:val="00095C9B"/>
    <w:rsid w:val="00097EA7"/>
    <w:rsid w:val="000A02E7"/>
    <w:rsid w:val="000A05CA"/>
    <w:rsid w:val="000A0B8E"/>
    <w:rsid w:val="000A1865"/>
    <w:rsid w:val="000A27EF"/>
    <w:rsid w:val="000A4371"/>
    <w:rsid w:val="000A48D0"/>
    <w:rsid w:val="000A5965"/>
    <w:rsid w:val="000A715E"/>
    <w:rsid w:val="000B0551"/>
    <w:rsid w:val="000B06DC"/>
    <w:rsid w:val="000B1760"/>
    <w:rsid w:val="000B5373"/>
    <w:rsid w:val="000B7154"/>
    <w:rsid w:val="000C37E9"/>
    <w:rsid w:val="000C3ADE"/>
    <w:rsid w:val="000C3BF9"/>
    <w:rsid w:val="000C3DC0"/>
    <w:rsid w:val="000C5CB8"/>
    <w:rsid w:val="000C749D"/>
    <w:rsid w:val="000D08A0"/>
    <w:rsid w:val="000D0E67"/>
    <w:rsid w:val="000D1357"/>
    <w:rsid w:val="000D1CC9"/>
    <w:rsid w:val="000D1DB5"/>
    <w:rsid w:val="000D22BE"/>
    <w:rsid w:val="000D2FC0"/>
    <w:rsid w:val="000D40E6"/>
    <w:rsid w:val="000D4DCD"/>
    <w:rsid w:val="000D58DB"/>
    <w:rsid w:val="000D5C4E"/>
    <w:rsid w:val="000D68CA"/>
    <w:rsid w:val="000D6D9E"/>
    <w:rsid w:val="000D7025"/>
    <w:rsid w:val="000D7A67"/>
    <w:rsid w:val="000D7CD3"/>
    <w:rsid w:val="000E10F6"/>
    <w:rsid w:val="000E1C9A"/>
    <w:rsid w:val="000E26F7"/>
    <w:rsid w:val="000E4192"/>
    <w:rsid w:val="000E7D7B"/>
    <w:rsid w:val="000F002A"/>
    <w:rsid w:val="000F1EDA"/>
    <w:rsid w:val="000F2EE0"/>
    <w:rsid w:val="000F30CD"/>
    <w:rsid w:val="00100A96"/>
    <w:rsid w:val="001057F6"/>
    <w:rsid w:val="00105839"/>
    <w:rsid w:val="00105AE0"/>
    <w:rsid w:val="001068D1"/>
    <w:rsid w:val="00107F61"/>
    <w:rsid w:val="001118FF"/>
    <w:rsid w:val="00112C4E"/>
    <w:rsid w:val="00114830"/>
    <w:rsid w:val="00121BAF"/>
    <w:rsid w:val="00124F80"/>
    <w:rsid w:val="0012610F"/>
    <w:rsid w:val="00126A14"/>
    <w:rsid w:val="00127FB9"/>
    <w:rsid w:val="00132B1A"/>
    <w:rsid w:val="00132BB9"/>
    <w:rsid w:val="00136E8D"/>
    <w:rsid w:val="00137C12"/>
    <w:rsid w:val="00140F6A"/>
    <w:rsid w:val="00142FFC"/>
    <w:rsid w:val="00143D0B"/>
    <w:rsid w:val="00144C6B"/>
    <w:rsid w:val="00144C79"/>
    <w:rsid w:val="00144F0E"/>
    <w:rsid w:val="001458D0"/>
    <w:rsid w:val="00146A96"/>
    <w:rsid w:val="00147005"/>
    <w:rsid w:val="0014716E"/>
    <w:rsid w:val="001475B2"/>
    <w:rsid w:val="00156B9F"/>
    <w:rsid w:val="00163729"/>
    <w:rsid w:val="0016418B"/>
    <w:rsid w:val="00165366"/>
    <w:rsid w:val="00165A4A"/>
    <w:rsid w:val="001662BD"/>
    <w:rsid w:val="00170662"/>
    <w:rsid w:val="00170889"/>
    <w:rsid w:val="00171019"/>
    <w:rsid w:val="00175153"/>
    <w:rsid w:val="00176DA3"/>
    <w:rsid w:val="0018184F"/>
    <w:rsid w:val="0018322E"/>
    <w:rsid w:val="00185DED"/>
    <w:rsid w:val="00185F76"/>
    <w:rsid w:val="001865AC"/>
    <w:rsid w:val="001875C7"/>
    <w:rsid w:val="0018767D"/>
    <w:rsid w:val="00190894"/>
    <w:rsid w:val="001934FD"/>
    <w:rsid w:val="00193962"/>
    <w:rsid w:val="001975B2"/>
    <w:rsid w:val="001A05D2"/>
    <w:rsid w:val="001A143C"/>
    <w:rsid w:val="001A41B2"/>
    <w:rsid w:val="001A552E"/>
    <w:rsid w:val="001A5632"/>
    <w:rsid w:val="001A5A19"/>
    <w:rsid w:val="001A6342"/>
    <w:rsid w:val="001A637C"/>
    <w:rsid w:val="001B2861"/>
    <w:rsid w:val="001B4FDE"/>
    <w:rsid w:val="001B572C"/>
    <w:rsid w:val="001B6007"/>
    <w:rsid w:val="001C000C"/>
    <w:rsid w:val="001C006B"/>
    <w:rsid w:val="001C1FFF"/>
    <w:rsid w:val="001C4356"/>
    <w:rsid w:val="001C4433"/>
    <w:rsid w:val="001C48F8"/>
    <w:rsid w:val="001C4BC3"/>
    <w:rsid w:val="001C6C9A"/>
    <w:rsid w:val="001C6CBF"/>
    <w:rsid w:val="001C6F7A"/>
    <w:rsid w:val="001D2221"/>
    <w:rsid w:val="001D246C"/>
    <w:rsid w:val="001D2D12"/>
    <w:rsid w:val="001D3E0E"/>
    <w:rsid w:val="001D4918"/>
    <w:rsid w:val="001D5F67"/>
    <w:rsid w:val="001D7142"/>
    <w:rsid w:val="001E3DCD"/>
    <w:rsid w:val="001E4117"/>
    <w:rsid w:val="001E5CE9"/>
    <w:rsid w:val="001E688E"/>
    <w:rsid w:val="001E72D3"/>
    <w:rsid w:val="001F23AC"/>
    <w:rsid w:val="001F2836"/>
    <w:rsid w:val="001F5482"/>
    <w:rsid w:val="001F5731"/>
    <w:rsid w:val="001F7397"/>
    <w:rsid w:val="00201836"/>
    <w:rsid w:val="002022A7"/>
    <w:rsid w:val="002035EC"/>
    <w:rsid w:val="00203630"/>
    <w:rsid w:val="00206525"/>
    <w:rsid w:val="00206F49"/>
    <w:rsid w:val="00211750"/>
    <w:rsid w:val="00211D73"/>
    <w:rsid w:val="002125C3"/>
    <w:rsid w:val="002150F0"/>
    <w:rsid w:val="00215213"/>
    <w:rsid w:val="002152BC"/>
    <w:rsid w:val="0022045F"/>
    <w:rsid w:val="0022091A"/>
    <w:rsid w:val="00220B80"/>
    <w:rsid w:val="00221395"/>
    <w:rsid w:val="00222193"/>
    <w:rsid w:val="002237CE"/>
    <w:rsid w:val="00224BFE"/>
    <w:rsid w:val="00230C62"/>
    <w:rsid w:val="00230C6A"/>
    <w:rsid w:val="002314C9"/>
    <w:rsid w:val="00231BCF"/>
    <w:rsid w:val="00235A99"/>
    <w:rsid w:val="00235D8B"/>
    <w:rsid w:val="00237630"/>
    <w:rsid w:val="002378F4"/>
    <w:rsid w:val="002422B3"/>
    <w:rsid w:val="00242D8F"/>
    <w:rsid w:val="00244D6A"/>
    <w:rsid w:val="0024759D"/>
    <w:rsid w:val="0025277A"/>
    <w:rsid w:val="00254319"/>
    <w:rsid w:val="00254761"/>
    <w:rsid w:val="0025616E"/>
    <w:rsid w:val="00260A6F"/>
    <w:rsid w:val="00262983"/>
    <w:rsid w:val="00262FD6"/>
    <w:rsid w:val="00263B03"/>
    <w:rsid w:val="00263BC0"/>
    <w:rsid w:val="00263D5A"/>
    <w:rsid w:val="00264482"/>
    <w:rsid w:val="00264507"/>
    <w:rsid w:val="00264597"/>
    <w:rsid w:val="00264741"/>
    <w:rsid w:val="0026570B"/>
    <w:rsid w:val="00267063"/>
    <w:rsid w:val="00270B97"/>
    <w:rsid w:val="002713B4"/>
    <w:rsid w:val="00273263"/>
    <w:rsid w:val="0027456B"/>
    <w:rsid w:val="002757D3"/>
    <w:rsid w:val="002777EA"/>
    <w:rsid w:val="00280FD5"/>
    <w:rsid w:val="002811B6"/>
    <w:rsid w:val="00281AFD"/>
    <w:rsid w:val="00290D58"/>
    <w:rsid w:val="00292113"/>
    <w:rsid w:val="00292893"/>
    <w:rsid w:val="002935FC"/>
    <w:rsid w:val="00293EDB"/>
    <w:rsid w:val="00294189"/>
    <w:rsid w:val="00294EC3"/>
    <w:rsid w:val="00294F92"/>
    <w:rsid w:val="0029548C"/>
    <w:rsid w:val="00297207"/>
    <w:rsid w:val="00297940"/>
    <w:rsid w:val="002979D0"/>
    <w:rsid w:val="002A0E70"/>
    <w:rsid w:val="002A0F64"/>
    <w:rsid w:val="002A2793"/>
    <w:rsid w:val="002A2C6A"/>
    <w:rsid w:val="002A3F5F"/>
    <w:rsid w:val="002A41BD"/>
    <w:rsid w:val="002A67ED"/>
    <w:rsid w:val="002B0042"/>
    <w:rsid w:val="002B0050"/>
    <w:rsid w:val="002B0384"/>
    <w:rsid w:val="002B0DB0"/>
    <w:rsid w:val="002B1A92"/>
    <w:rsid w:val="002B247D"/>
    <w:rsid w:val="002B26E6"/>
    <w:rsid w:val="002B407A"/>
    <w:rsid w:val="002B5375"/>
    <w:rsid w:val="002C1CDB"/>
    <w:rsid w:val="002C21D8"/>
    <w:rsid w:val="002C2858"/>
    <w:rsid w:val="002C43A1"/>
    <w:rsid w:val="002C73BB"/>
    <w:rsid w:val="002D079F"/>
    <w:rsid w:val="002D4394"/>
    <w:rsid w:val="002D43B7"/>
    <w:rsid w:val="002D4593"/>
    <w:rsid w:val="002E0A15"/>
    <w:rsid w:val="002E0A63"/>
    <w:rsid w:val="002E0FD9"/>
    <w:rsid w:val="002E23F4"/>
    <w:rsid w:val="002E2E4D"/>
    <w:rsid w:val="002E3DB2"/>
    <w:rsid w:val="002E6456"/>
    <w:rsid w:val="002E67EC"/>
    <w:rsid w:val="002E6BA9"/>
    <w:rsid w:val="002E7A75"/>
    <w:rsid w:val="002F2AFA"/>
    <w:rsid w:val="002F31B6"/>
    <w:rsid w:val="002F4914"/>
    <w:rsid w:val="002F77C4"/>
    <w:rsid w:val="002F7F3F"/>
    <w:rsid w:val="003030B9"/>
    <w:rsid w:val="003031FD"/>
    <w:rsid w:val="00307800"/>
    <w:rsid w:val="00307919"/>
    <w:rsid w:val="00307DD3"/>
    <w:rsid w:val="00312138"/>
    <w:rsid w:val="00315044"/>
    <w:rsid w:val="00315489"/>
    <w:rsid w:val="003168A6"/>
    <w:rsid w:val="00320391"/>
    <w:rsid w:val="003208FE"/>
    <w:rsid w:val="00320E62"/>
    <w:rsid w:val="00323813"/>
    <w:rsid w:val="00323B10"/>
    <w:rsid w:val="003329FE"/>
    <w:rsid w:val="003339F2"/>
    <w:rsid w:val="00334830"/>
    <w:rsid w:val="003362E8"/>
    <w:rsid w:val="0033657F"/>
    <w:rsid w:val="0034214B"/>
    <w:rsid w:val="003439FE"/>
    <w:rsid w:val="00344916"/>
    <w:rsid w:val="0034493D"/>
    <w:rsid w:val="00345AA5"/>
    <w:rsid w:val="00350C14"/>
    <w:rsid w:val="0035115C"/>
    <w:rsid w:val="00353D34"/>
    <w:rsid w:val="00354197"/>
    <w:rsid w:val="003542D4"/>
    <w:rsid w:val="00355448"/>
    <w:rsid w:val="00355B98"/>
    <w:rsid w:val="00356A0B"/>
    <w:rsid w:val="0036091D"/>
    <w:rsid w:val="00361115"/>
    <w:rsid w:val="00361E40"/>
    <w:rsid w:val="00362382"/>
    <w:rsid w:val="00364533"/>
    <w:rsid w:val="003653F7"/>
    <w:rsid w:val="00365B20"/>
    <w:rsid w:val="003667EA"/>
    <w:rsid w:val="00367CCE"/>
    <w:rsid w:val="00367DE6"/>
    <w:rsid w:val="00370557"/>
    <w:rsid w:val="003711EB"/>
    <w:rsid w:val="003723B2"/>
    <w:rsid w:val="003738FE"/>
    <w:rsid w:val="00373DD9"/>
    <w:rsid w:val="00375B09"/>
    <w:rsid w:val="00376F77"/>
    <w:rsid w:val="003810B5"/>
    <w:rsid w:val="00381789"/>
    <w:rsid w:val="003818B5"/>
    <w:rsid w:val="0038303F"/>
    <w:rsid w:val="0038317F"/>
    <w:rsid w:val="0038347D"/>
    <w:rsid w:val="00383509"/>
    <w:rsid w:val="00383EB5"/>
    <w:rsid w:val="00386EC6"/>
    <w:rsid w:val="00386EDC"/>
    <w:rsid w:val="0039020F"/>
    <w:rsid w:val="00391E78"/>
    <w:rsid w:val="0039214B"/>
    <w:rsid w:val="00392ACE"/>
    <w:rsid w:val="00394D32"/>
    <w:rsid w:val="003A01BA"/>
    <w:rsid w:val="003A069C"/>
    <w:rsid w:val="003A1550"/>
    <w:rsid w:val="003A24F8"/>
    <w:rsid w:val="003A445A"/>
    <w:rsid w:val="003A4CC6"/>
    <w:rsid w:val="003A60FE"/>
    <w:rsid w:val="003A6BF6"/>
    <w:rsid w:val="003B1EAA"/>
    <w:rsid w:val="003B3854"/>
    <w:rsid w:val="003B461F"/>
    <w:rsid w:val="003B4B5C"/>
    <w:rsid w:val="003B7043"/>
    <w:rsid w:val="003B7368"/>
    <w:rsid w:val="003C10C8"/>
    <w:rsid w:val="003C1C85"/>
    <w:rsid w:val="003C2BE3"/>
    <w:rsid w:val="003C4ADF"/>
    <w:rsid w:val="003C4C22"/>
    <w:rsid w:val="003C572F"/>
    <w:rsid w:val="003C67C7"/>
    <w:rsid w:val="003C6A7A"/>
    <w:rsid w:val="003C7DE5"/>
    <w:rsid w:val="003D0BE9"/>
    <w:rsid w:val="003D1330"/>
    <w:rsid w:val="003D201B"/>
    <w:rsid w:val="003D4783"/>
    <w:rsid w:val="003D66F7"/>
    <w:rsid w:val="003D72B2"/>
    <w:rsid w:val="003D7793"/>
    <w:rsid w:val="003D7871"/>
    <w:rsid w:val="003D7DC7"/>
    <w:rsid w:val="003E08D2"/>
    <w:rsid w:val="003E12F3"/>
    <w:rsid w:val="003E1CC5"/>
    <w:rsid w:val="003E3A4B"/>
    <w:rsid w:val="003E5B3D"/>
    <w:rsid w:val="003E704D"/>
    <w:rsid w:val="003F11AC"/>
    <w:rsid w:val="003F36F9"/>
    <w:rsid w:val="003F583A"/>
    <w:rsid w:val="003F5E7F"/>
    <w:rsid w:val="003F7DE3"/>
    <w:rsid w:val="00401990"/>
    <w:rsid w:val="00402CE6"/>
    <w:rsid w:val="004073EF"/>
    <w:rsid w:val="004247CD"/>
    <w:rsid w:val="00424B92"/>
    <w:rsid w:val="00425B82"/>
    <w:rsid w:val="00426735"/>
    <w:rsid w:val="004314BA"/>
    <w:rsid w:val="0043191A"/>
    <w:rsid w:val="00432DBA"/>
    <w:rsid w:val="00436BA0"/>
    <w:rsid w:val="00437D4C"/>
    <w:rsid w:val="004401DA"/>
    <w:rsid w:val="00442E17"/>
    <w:rsid w:val="00444120"/>
    <w:rsid w:val="00451BEB"/>
    <w:rsid w:val="00452EFF"/>
    <w:rsid w:val="00452F35"/>
    <w:rsid w:val="004534E6"/>
    <w:rsid w:val="004578FD"/>
    <w:rsid w:val="00462D7B"/>
    <w:rsid w:val="00465136"/>
    <w:rsid w:val="00467BBC"/>
    <w:rsid w:val="00470AB3"/>
    <w:rsid w:val="00470DA9"/>
    <w:rsid w:val="00472DCA"/>
    <w:rsid w:val="004730A7"/>
    <w:rsid w:val="00473FA0"/>
    <w:rsid w:val="004761F9"/>
    <w:rsid w:val="004805FA"/>
    <w:rsid w:val="00481311"/>
    <w:rsid w:val="00481908"/>
    <w:rsid w:val="00481E12"/>
    <w:rsid w:val="00485F77"/>
    <w:rsid w:val="0048646B"/>
    <w:rsid w:val="004867CC"/>
    <w:rsid w:val="00486F42"/>
    <w:rsid w:val="00487033"/>
    <w:rsid w:val="00487950"/>
    <w:rsid w:val="00487ABB"/>
    <w:rsid w:val="00487D31"/>
    <w:rsid w:val="0049236E"/>
    <w:rsid w:val="00492818"/>
    <w:rsid w:val="00492FD4"/>
    <w:rsid w:val="004939F5"/>
    <w:rsid w:val="00493DBC"/>
    <w:rsid w:val="00494B8F"/>
    <w:rsid w:val="00496E73"/>
    <w:rsid w:val="00497045"/>
    <w:rsid w:val="004A4C51"/>
    <w:rsid w:val="004A4CAB"/>
    <w:rsid w:val="004A67E6"/>
    <w:rsid w:val="004A72EB"/>
    <w:rsid w:val="004A76CC"/>
    <w:rsid w:val="004B00FE"/>
    <w:rsid w:val="004B1D0A"/>
    <w:rsid w:val="004B33B0"/>
    <w:rsid w:val="004B4174"/>
    <w:rsid w:val="004B6376"/>
    <w:rsid w:val="004B6ECD"/>
    <w:rsid w:val="004C00BE"/>
    <w:rsid w:val="004C093A"/>
    <w:rsid w:val="004C1DE6"/>
    <w:rsid w:val="004C2EDF"/>
    <w:rsid w:val="004C58B1"/>
    <w:rsid w:val="004C672D"/>
    <w:rsid w:val="004C7098"/>
    <w:rsid w:val="004D119F"/>
    <w:rsid w:val="004D2E1E"/>
    <w:rsid w:val="004D5B3E"/>
    <w:rsid w:val="004D61C8"/>
    <w:rsid w:val="004D7AF9"/>
    <w:rsid w:val="004E0AB8"/>
    <w:rsid w:val="004E2569"/>
    <w:rsid w:val="004E29D6"/>
    <w:rsid w:val="004E3557"/>
    <w:rsid w:val="004E7434"/>
    <w:rsid w:val="004E76AA"/>
    <w:rsid w:val="004E7F4B"/>
    <w:rsid w:val="004F0B25"/>
    <w:rsid w:val="004F14CB"/>
    <w:rsid w:val="004F59D2"/>
    <w:rsid w:val="004F5E33"/>
    <w:rsid w:val="004F5FA4"/>
    <w:rsid w:val="0050274D"/>
    <w:rsid w:val="0050414E"/>
    <w:rsid w:val="00511228"/>
    <w:rsid w:val="00512CF3"/>
    <w:rsid w:val="00514018"/>
    <w:rsid w:val="0051502B"/>
    <w:rsid w:val="005157CF"/>
    <w:rsid w:val="00516084"/>
    <w:rsid w:val="0051678E"/>
    <w:rsid w:val="00517097"/>
    <w:rsid w:val="00517D27"/>
    <w:rsid w:val="00521D9F"/>
    <w:rsid w:val="00524415"/>
    <w:rsid w:val="00526B76"/>
    <w:rsid w:val="00527B36"/>
    <w:rsid w:val="00527E18"/>
    <w:rsid w:val="00530758"/>
    <w:rsid w:val="00530BDA"/>
    <w:rsid w:val="005322DF"/>
    <w:rsid w:val="00534B09"/>
    <w:rsid w:val="00535C1A"/>
    <w:rsid w:val="00535F17"/>
    <w:rsid w:val="00540FFE"/>
    <w:rsid w:val="005416C7"/>
    <w:rsid w:val="00541A32"/>
    <w:rsid w:val="00542866"/>
    <w:rsid w:val="00544669"/>
    <w:rsid w:val="00545910"/>
    <w:rsid w:val="00545AAB"/>
    <w:rsid w:val="00547279"/>
    <w:rsid w:val="00550C4D"/>
    <w:rsid w:val="0055252C"/>
    <w:rsid w:val="005528C8"/>
    <w:rsid w:val="00552BDE"/>
    <w:rsid w:val="005530C0"/>
    <w:rsid w:val="00554433"/>
    <w:rsid w:val="005547AB"/>
    <w:rsid w:val="005552AD"/>
    <w:rsid w:val="0055604C"/>
    <w:rsid w:val="0055623A"/>
    <w:rsid w:val="005568A6"/>
    <w:rsid w:val="005601C6"/>
    <w:rsid w:val="00562AB3"/>
    <w:rsid w:val="0056371F"/>
    <w:rsid w:val="00564CA7"/>
    <w:rsid w:val="00565387"/>
    <w:rsid w:val="005654EA"/>
    <w:rsid w:val="0056726B"/>
    <w:rsid w:val="0057151D"/>
    <w:rsid w:val="00574425"/>
    <w:rsid w:val="00576633"/>
    <w:rsid w:val="00580E3B"/>
    <w:rsid w:val="0058153E"/>
    <w:rsid w:val="0058154F"/>
    <w:rsid w:val="00585CFD"/>
    <w:rsid w:val="00587C9E"/>
    <w:rsid w:val="00590967"/>
    <w:rsid w:val="00590F9A"/>
    <w:rsid w:val="00592B42"/>
    <w:rsid w:val="00594DB0"/>
    <w:rsid w:val="00595C6A"/>
    <w:rsid w:val="005A4A59"/>
    <w:rsid w:val="005B099A"/>
    <w:rsid w:val="005B10BF"/>
    <w:rsid w:val="005B1B78"/>
    <w:rsid w:val="005B25C5"/>
    <w:rsid w:val="005B58A7"/>
    <w:rsid w:val="005B63BF"/>
    <w:rsid w:val="005B6CC7"/>
    <w:rsid w:val="005C298F"/>
    <w:rsid w:val="005C3DEA"/>
    <w:rsid w:val="005C6488"/>
    <w:rsid w:val="005D1027"/>
    <w:rsid w:val="005D1766"/>
    <w:rsid w:val="005D1A8A"/>
    <w:rsid w:val="005D34E0"/>
    <w:rsid w:val="005D462D"/>
    <w:rsid w:val="005D6AEA"/>
    <w:rsid w:val="005D6CE7"/>
    <w:rsid w:val="005D73CE"/>
    <w:rsid w:val="005D7FF7"/>
    <w:rsid w:val="005E14FC"/>
    <w:rsid w:val="005E19F2"/>
    <w:rsid w:val="005E20CB"/>
    <w:rsid w:val="005E3A70"/>
    <w:rsid w:val="005E4DA8"/>
    <w:rsid w:val="005E7DA4"/>
    <w:rsid w:val="005F166A"/>
    <w:rsid w:val="005F28BF"/>
    <w:rsid w:val="005F2AB5"/>
    <w:rsid w:val="005F31E2"/>
    <w:rsid w:val="005F353A"/>
    <w:rsid w:val="005F6CA2"/>
    <w:rsid w:val="005F6CB3"/>
    <w:rsid w:val="00600AD3"/>
    <w:rsid w:val="00602FE3"/>
    <w:rsid w:val="006055C5"/>
    <w:rsid w:val="006055D1"/>
    <w:rsid w:val="00606E41"/>
    <w:rsid w:val="0060759A"/>
    <w:rsid w:val="00611AFB"/>
    <w:rsid w:val="00612D90"/>
    <w:rsid w:val="00614797"/>
    <w:rsid w:val="006150A2"/>
    <w:rsid w:val="00620A23"/>
    <w:rsid w:val="00621189"/>
    <w:rsid w:val="006238D9"/>
    <w:rsid w:val="006252DA"/>
    <w:rsid w:val="00626F15"/>
    <w:rsid w:val="006314F2"/>
    <w:rsid w:val="00631750"/>
    <w:rsid w:val="00633121"/>
    <w:rsid w:val="00633509"/>
    <w:rsid w:val="00633B8A"/>
    <w:rsid w:val="0063732E"/>
    <w:rsid w:val="00640FA9"/>
    <w:rsid w:val="00643BE4"/>
    <w:rsid w:val="00644F36"/>
    <w:rsid w:val="006500B0"/>
    <w:rsid w:val="00650F7A"/>
    <w:rsid w:val="00653E5E"/>
    <w:rsid w:val="00660A2E"/>
    <w:rsid w:val="00660E32"/>
    <w:rsid w:val="00661745"/>
    <w:rsid w:val="00665AC5"/>
    <w:rsid w:val="00666009"/>
    <w:rsid w:val="00670202"/>
    <w:rsid w:val="00671A1C"/>
    <w:rsid w:val="00672058"/>
    <w:rsid w:val="006731D4"/>
    <w:rsid w:val="006753DD"/>
    <w:rsid w:val="00675C8C"/>
    <w:rsid w:val="00675D11"/>
    <w:rsid w:val="006773FE"/>
    <w:rsid w:val="00682195"/>
    <w:rsid w:val="00682D71"/>
    <w:rsid w:val="00683534"/>
    <w:rsid w:val="00683F3B"/>
    <w:rsid w:val="00684E59"/>
    <w:rsid w:val="0068632A"/>
    <w:rsid w:val="00686338"/>
    <w:rsid w:val="00686A37"/>
    <w:rsid w:val="00692037"/>
    <w:rsid w:val="006923E0"/>
    <w:rsid w:val="00692C5C"/>
    <w:rsid w:val="006963CC"/>
    <w:rsid w:val="00696CD0"/>
    <w:rsid w:val="00697FCF"/>
    <w:rsid w:val="006A0121"/>
    <w:rsid w:val="006A0BBF"/>
    <w:rsid w:val="006A0E61"/>
    <w:rsid w:val="006A13FF"/>
    <w:rsid w:val="006A21B0"/>
    <w:rsid w:val="006A2A5B"/>
    <w:rsid w:val="006A30DC"/>
    <w:rsid w:val="006A4F0E"/>
    <w:rsid w:val="006A53D4"/>
    <w:rsid w:val="006A6B3C"/>
    <w:rsid w:val="006B0D18"/>
    <w:rsid w:val="006B1E18"/>
    <w:rsid w:val="006B2368"/>
    <w:rsid w:val="006B32ED"/>
    <w:rsid w:val="006B37EC"/>
    <w:rsid w:val="006B3C7E"/>
    <w:rsid w:val="006B3E14"/>
    <w:rsid w:val="006B56B4"/>
    <w:rsid w:val="006B6370"/>
    <w:rsid w:val="006C1E43"/>
    <w:rsid w:val="006C3E79"/>
    <w:rsid w:val="006C50E3"/>
    <w:rsid w:val="006C651A"/>
    <w:rsid w:val="006D2EC7"/>
    <w:rsid w:val="006D31FF"/>
    <w:rsid w:val="006D3DA0"/>
    <w:rsid w:val="006D6D55"/>
    <w:rsid w:val="006D792A"/>
    <w:rsid w:val="006E0F3D"/>
    <w:rsid w:val="006E54AF"/>
    <w:rsid w:val="006E7318"/>
    <w:rsid w:val="006F0359"/>
    <w:rsid w:val="006F0600"/>
    <w:rsid w:val="006F1732"/>
    <w:rsid w:val="006F23D3"/>
    <w:rsid w:val="006F3941"/>
    <w:rsid w:val="006F3959"/>
    <w:rsid w:val="006F4CC2"/>
    <w:rsid w:val="006F6BCF"/>
    <w:rsid w:val="00700FDA"/>
    <w:rsid w:val="007019A9"/>
    <w:rsid w:val="00701B3E"/>
    <w:rsid w:val="007047EF"/>
    <w:rsid w:val="00710C76"/>
    <w:rsid w:val="007113D6"/>
    <w:rsid w:val="007119EB"/>
    <w:rsid w:val="007128CC"/>
    <w:rsid w:val="00714F16"/>
    <w:rsid w:val="007159E0"/>
    <w:rsid w:val="00715F04"/>
    <w:rsid w:val="00717202"/>
    <w:rsid w:val="00720C24"/>
    <w:rsid w:val="00722A6B"/>
    <w:rsid w:val="00723C37"/>
    <w:rsid w:val="00725533"/>
    <w:rsid w:val="00727853"/>
    <w:rsid w:val="00727AC4"/>
    <w:rsid w:val="00727C4F"/>
    <w:rsid w:val="007310E5"/>
    <w:rsid w:val="00734171"/>
    <w:rsid w:val="007342A1"/>
    <w:rsid w:val="00736DE7"/>
    <w:rsid w:val="007412FC"/>
    <w:rsid w:val="00745939"/>
    <w:rsid w:val="007522C5"/>
    <w:rsid w:val="007522D0"/>
    <w:rsid w:val="007538DC"/>
    <w:rsid w:val="00754579"/>
    <w:rsid w:val="007625C2"/>
    <w:rsid w:val="0076495D"/>
    <w:rsid w:val="00764AC0"/>
    <w:rsid w:val="007653E5"/>
    <w:rsid w:val="007659A9"/>
    <w:rsid w:val="0077061F"/>
    <w:rsid w:val="00771AFB"/>
    <w:rsid w:val="00776488"/>
    <w:rsid w:val="00776E6B"/>
    <w:rsid w:val="007778FC"/>
    <w:rsid w:val="00781FA9"/>
    <w:rsid w:val="00782843"/>
    <w:rsid w:val="00783959"/>
    <w:rsid w:val="00784352"/>
    <w:rsid w:val="00791613"/>
    <w:rsid w:val="00795FE7"/>
    <w:rsid w:val="007A1C85"/>
    <w:rsid w:val="007A2097"/>
    <w:rsid w:val="007A2AE0"/>
    <w:rsid w:val="007A392F"/>
    <w:rsid w:val="007A3C43"/>
    <w:rsid w:val="007A3DB5"/>
    <w:rsid w:val="007A3F78"/>
    <w:rsid w:val="007A4443"/>
    <w:rsid w:val="007A47A6"/>
    <w:rsid w:val="007A4B24"/>
    <w:rsid w:val="007B0459"/>
    <w:rsid w:val="007B3E8B"/>
    <w:rsid w:val="007B46CC"/>
    <w:rsid w:val="007B6882"/>
    <w:rsid w:val="007B7442"/>
    <w:rsid w:val="007B7BAA"/>
    <w:rsid w:val="007C452A"/>
    <w:rsid w:val="007C5A7A"/>
    <w:rsid w:val="007C77F5"/>
    <w:rsid w:val="007D52E6"/>
    <w:rsid w:val="007D5378"/>
    <w:rsid w:val="007D7E16"/>
    <w:rsid w:val="007E0C4E"/>
    <w:rsid w:val="007E1779"/>
    <w:rsid w:val="007E38F7"/>
    <w:rsid w:val="007E392B"/>
    <w:rsid w:val="007E4ED9"/>
    <w:rsid w:val="007E7981"/>
    <w:rsid w:val="007F000B"/>
    <w:rsid w:val="007F12F4"/>
    <w:rsid w:val="007F13EC"/>
    <w:rsid w:val="007F1A87"/>
    <w:rsid w:val="007F3289"/>
    <w:rsid w:val="007F38ED"/>
    <w:rsid w:val="007F42A7"/>
    <w:rsid w:val="007F63DF"/>
    <w:rsid w:val="007F6EC2"/>
    <w:rsid w:val="007F6F1F"/>
    <w:rsid w:val="00802ED9"/>
    <w:rsid w:val="008035F3"/>
    <w:rsid w:val="00803B92"/>
    <w:rsid w:val="0080472F"/>
    <w:rsid w:val="00806408"/>
    <w:rsid w:val="00806D25"/>
    <w:rsid w:val="008073A0"/>
    <w:rsid w:val="008108E7"/>
    <w:rsid w:val="00810F68"/>
    <w:rsid w:val="00812EE8"/>
    <w:rsid w:val="00814090"/>
    <w:rsid w:val="00815C95"/>
    <w:rsid w:val="008200BD"/>
    <w:rsid w:val="008212A8"/>
    <w:rsid w:val="008218DB"/>
    <w:rsid w:val="00822082"/>
    <w:rsid w:val="008255F4"/>
    <w:rsid w:val="0082565E"/>
    <w:rsid w:val="008260E5"/>
    <w:rsid w:val="00827DDB"/>
    <w:rsid w:val="008308DE"/>
    <w:rsid w:val="00830BDF"/>
    <w:rsid w:val="0083230F"/>
    <w:rsid w:val="00833E7C"/>
    <w:rsid w:val="0083401E"/>
    <w:rsid w:val="0083428E"/>
    <w:rsid w:val="008344AF"/>
    <w:rsid w:val="00834A76"/>
    <w:rsid w:val="008406ED"/>
    <w:rsid w:val="00840853"/>
    <w:rsid w:val="00841863"/>
    <w:rsid w:val="00846736"/>
    <w:rsid w:val="008468B0"/>
    <w:rsid w:val="00846A19"/>
    <w:rsid w:val="0084725D"/>
    <w:rsid w:val="0084765E"/>
    <w:rsid w:val="00847B19"/>
    <w:rsid w:val="00850FC0"/>
    <w:rsid w:val="00851AF7"/>
    <w:rsid w:val="00852EB0"/>
    <w:rsid w:val="00853076"/>
    <w:rsid w:val="00853347"/>
    <w:rsid w:val="00853386"/>
    <w:rsid w:val="00853CD7"/>
    <w:rsid w:val="008548DE"/>
    <w:rsid w:val="00854A14"/>
    <w:rsid w:val="00855024"/>
    <w:rsid w:val="00856637"/>
    <w:rsid w:val="00860AE7"/>
    <w:rsid w:val="008611E3"/>
    <w:rsid w:val="008612D3"/>
    <w:rsid w:val="0086182F"/>
    <w:rsid w:val="00861B00"/>
    <w:rsid w:val="008623C1"/>
    <w:rsid w:val="00862B7F"/>
    <w:rsid w:val="00863157"/>
    <w:rsid w:val="008656AA"/>
    <w:rsid w:val="008663E7"/>
    <w:rsid w:val="00866A05"/>
    <w:rsid w:val="00866DFE"/>
    <w:rsid w:val="00867EDA"/>
    <w:rsid w:val="008708D6"/>
    <w:rsid w:val="00870C4C"/>
    <w:rsid w:val="00870DE8"/>
    <w:rsid w:val="00873A51"/>
    <w:rsid w:val="00874057"/>
    <w:rsid w:val="0087455D"/>
    <w:rsid w:val="0087468A"/>
    <w:rsid w:val="00875EB5"/>
    <w:rsid w:val="00876CE5"/>
    <w:rsid w:val="008772CC"/>
    <w:rsid w:val="0087753E"/>
    <w:rsid w:val="00880292"/>
    <w:rsid w:val="00881350"/>
    <w:rsid w:val="00883FB0"/>
    <w:rsid w:val="00886996"/>
    <w:rsid w:val="00890816"/>
    <w:rsid w:val="008924E4"/>
    <w:rsid w:val="00892514"/>
    <w:rsid w:val="00892FA9"/>
    <w:rsid w:val="00895F01"/>
    <w:rsid w:val="00896049"/>
    <w:rsid w:val="008A2A41"/>
    <w:rsid w:val="008A57DC"/>
    <w:rsid w:val="008B0FE6"/>
    <w:rsid w:val="008B3DD9"/>
    <w:rsid w:val="008B420C"/>
    <w:rsid w:val="008B4666"/>
    <w:rsid w:val="008B62F3"/>
    <w:rsid w:val="008C029B"/>
    <w:rsid w:val="008C458D"/>
    <w:rsid w:val="008C45FD"/>
    <w:rsid w:val="008C48BB"/>
    <w:rsid w:val="008C636B"/>
    <w:rsid w:val="008C7C81"/>
    <w:rsid w:val="008D1533"/>
    <w:rsid w:val="008D2621"/>
    <w:rsid w:val="008D431D"/>
    <w:rsid w:val="008D4497"/>
    <w:rsid w:val="008D6DAC"/>
    <w:rsid w:val="008E05C1"/>
    <w:rsid w:val="008E3C66"/>
    <w:rsid w:val="008E4956"/>
    <w:rsid w:val="008E79D4"/>
    <w:rsid w:val="008F02AF"/>
    <w:rsid w:val="008F05CC"/>
    <w:rsid w:val="008F1839"/>
    <w:rsid w:val="008F1B72"/>
    <w:rsid w:val="008F4D61"/>
    <w:rsid w:val="008F5697"/>
    <w:rsid w:val="008F750B"/>
    <w:rsid w:val="008F769A"/>
    <w:rsid w:val="009012B5"/>
    <w:rsid w:val="00902917"/>
    <w:rsid w:val="00902F4B"/>
    <w:rsid w:val="00903A0B"/>
    <w:rsid w:val="009044EB"/>
    <w:rsid w:val="009045E0"/>
    <w:rsid w:val="00910EBD"/>
    <w:rsid w:val="009110C6"/>
    <w:rsid w:val="00911416"/>
    <w:rsid w:val="00912834"/>
    <w:rsid w:val="009139A7"/>
    <w:rsid w:val="0091413A"/>
    <w:rsid w:val="009141FE"/>
    <w:rsid w:val="00914352"/>
    <w:rsid w:val="00914463"/>
    <w:rsid w:val="00916C12"/>
    <w:rsid w:val="00917AE9"/>
    <w:rsid w:val="0092383E"/>
    <w:rsid w:val="00924DAF"/>
    <w:rsid w:val="00924EC4"/>
    <w:rsid w:val="00925813"/>
    <w:rsid w:val="00930FBF"/>
    <w:rsid w:val="009316C3"/>
    <w:rsid w:val="00931B2A"/>
    <w:rsid w:val="00932D1E"/>
    <w:rsid w:val="00933F34"/>
    <w:rsid w:val="00935319"/>
    <w:rsid w:val="00937397"/>
    <w:rsid w:val="00940C91"/>
    <w:rsid w:val="00941276"/>
    <w:rsid w:val="00941DF3"/>
    <w:rsid w:val="00943A84"/>
    <w:rsid w:val="009444A2"/>
    <w:rsid w:val="009448F8"/>
    <w:rsid w:val="00945077"/>
    <w:rsid w:val="00945FB2"/>
    <w:rsid w:val="0094637F"/>
    <w:rsid w:val="009527E3"/>
    <w:rsid w:val="0095295C"/>
    <w:rsid w:val="00955F52"/>
    <w:rsid w:val="00956302"/>
    <w:rsid w:val="00960A29"/>
    <w:rsid w:val="00961B6B"/>
    <w:rsid w:val="00962D0E"/>
    <w:rsid w:val="009645C5"/>
    <w:rsid w:val="00966371"/>
    <w:rsid w:val="00966944"/>
    <w:rsid w:val="00967109"/>
    <w:rsid w:val="00967AD9"/>
    <w:rsid w:val="009701BB"/>
    <w:rsid w:val="009715CD"/>
    <w:rsid w:val="00973702"/>
    <w:rsid w:val="00976CAE"/>
    <w:rsid w:val="00977A84"/>
    <w:rsid w:val="009808CD"/>
    <w:rsid w:val="00981C1B"/>
    <w:rsid w:val="0098278F"/>
    <w:rsid w:val="00984C3F"/>
    <w:rsid w:val="009859DE"/>
    <w:rsid w:val="00987C30"/>
    <w:rsid w:val="00991452"/>
    <w:rsid w:val="00991510"/>
    <w:rsid w:val="00993907"/>
    <w:rsid w:val="00993AC1"/>
    <w:rsid w:val="00996584"/>
    <w:rsid w:val="00996B67"/>
    <w:rsid w:val="009A068A"/>
    <w:rsid w:val="009A2795"/>
    <w:rsid w:val="009A2AFA"/>
    <w:rsid w:val="009A2E81"/>
    <w:rsid w:val="009A4EA1"/>
    <w:rsid w:val="009A6059"/>
    <w:rsid w:val="009A7F42"/>
    <w:rsid w:val="009B0E65"/>
    <w:rsid w:val="009B1574"/>
    <w:rsid w:val="009B16AB"/>
    <w:rsid w:val="009B5472"/>
    <w:rsid w:val="009C6F3D"/>
    <w:rsid w:val="009C7C0B"/>
    <w:rsid w:val="009D38F4"/>
    <w:rsid w:val="009D4D61"/>
    <w:rsid w:val="009D4F4C"/>
    <w:rsid w:val="009D5FBA"/>
    <w:rsid w:val="009E1A4D"/>
    <w:rsid w:val="009E3BF3"/>
    <w:rsid w:val="009E4EE7"/>
    <w:rsid w:val="009E581D"/>
    <w:rsid w:val="009E6758"/>
    <w:rsid w:val="009E67A1"/>
    <w:rsid w:val="009E78AE"/>
    <w:rsid w:val="009F0931"/>
    <w:rsid w:val="009F0B55"/>
    <w:rsid w:val="009F1222"/>
    <w:rsid w:val="009F4615"/>
    <w:rsid w:val="009F5F91"/>
    <w:rsid w:val="00A00CD2"/>
    <w:rsid w:val="00A01392"/>
    <w:rsid w:val="00A053F3"/>
    <w:rsid w:val="00A05438"/>
    <w:rsid w:val="00A10763"/>
    <w:rsid w:val="00A129EF"/>
    <w:rsid w:val="00A14C9F"/>
    <w:rsid w:val="00A16C32"/>
    <w:rsid w:val="00A16F04"/>
    <w:rsid w:val="00A17491"/>
    <w:rsid w:val="00A2493B"/>
    <w:rsid w:val="00A253F6"/>
    <w:rsid w:val="00A255D6"/>
    <w:rsid w:val="00A2587F"/>
    <w:rsid w:val="00A25B06"/>
    <w:rsid w:val="00A27DC3"/>
    <w:rsid w:val="00A31178"/>
    <w:rsid w:val="00A313D3"/>
    <w:rsid w:val="00A31FEC"/>
    <w:rsid w:val="00A329D9"/>
    <w:rsid w:val="00A338F7"/>
    <w:rsid w:val="00A33EE8"/>
    <w:rsid w:val="00A34D0A"/>
    <w:rsid w:val="00A41620"/>
    <w:rsid w:val="00A41DDC"/>
    <w:rsid w:val="00A44A2C"/>
    <w:rsid w:val="00A47E1B"/>
    <w:rsid w:val="00A50A3A"/>
    <w:rsid w:val="00A50D78"/>
    <w:rsid w:val="00A52954"/>
    <w:rsid w:val="00A549F9"/>
    <w:rsid w:val="00A56414"/>
    <w:rsid w:val="00A60265"/>
    <w:rsid w:val="00A603AB"/>
    <w:rsid w:val="00A603DB"/>
    <w:rsid w:val="00A6414C"/>
    <w:rsid w:val="00A642E3"/>
    <w:rsid w:val="00A643A1"/>
    <w:rsid w:val="00A65359"/>
    <w:rsid w:val="00A66CFF"/>
    <w:rsid w:val="00A70142"/>
    <w:rsid w:val="00A70DB8"/>
    <w:rsid w:val="00A72FAA"/>
    <w:rsid w:val="00A73485"/>
    <w:rsid w:val="00A75238"/>
    <w:rsid w:val="00A75EA4"/>
    <w:rsid w:val="00A7644B"/>
    <w:rsid w:val="00A766D7"/>
    <w:rsid w:val="00A8224D"/>
    <w:rsid w:val="00A82D57"/>
    <w:rsid w:val="00A83FB3"/>
    <w:rsid w:val="00A84FAF"/>
    <w:rsid w:val="00A85BF4"/>
    <w:rsid w:val="00A909A5"/>
    <w:rsid w:val="00A91CB4"/>
    <w:rsid w:val="00A9287E"/>
    <w:rsid w:val="00A929E3"/>
    <w:rsid w:val="00A92DE5"/>
    <w:rsid w:val="00A94505"/>
    <w:rsid w:val="00A951D2"/>
    <w:rsid w:val="00A96232"/>
    <w:rsid w:val="00A97177"/>
    <w:rsid w:val="00A97D22"/>
    <w:rsid w:val="00AA0595"/>
    <w:rsid w:val="00AA0DD8"/>
    <w:rsid w:val="00AA1593"/>
    <w:rsid w:val="00AA1598"/>
    <w:rsid w:val="00AA2332"/>
    <w:rsid w:val="00AA3763"/>
    <w:rsid w:val="00AA626C"/>
    <w:rsid w:val="00AB0310"/>
    <w:rsid w:val="00AB1BFB"/>
    <w:rsid w:val="00AB3150"/>
    <w:rsid w:val="00AB359C"/>
    <w:rsid w:val="00AB3A3A"/>
    <w:rsid w:val="00AB3CEF"/>
    <w:rsid w:val="00AC1A79"/>
    <w:rsid w:val="00AC1F55"/>
    <w:rsid w:val="00AC5DBF"/>
    <w:rsid w:val="00AC644A"/>
    <w:rsid w:val="00AD0EA0"/>
    <w:rsid w:val="00AD21C2"/>
    <w:rsid w:val="00AD3D66"/>
    <w:rsid w:val="00AD4510"/>
    <w:rsid w:val="00AD6197"/>
    <w:rsid w:val="00AD6662"/>
    <w:rsid w:val="00AD7D28"/>
    <w:rsid w:val="00AE078D"/>
    <w:rsid w:val="00AE180A"/>
    <w:rsid w:val="00AE202C"/>
    <w:rsid w:val="00AE23F3"/>
    <w:rsid w:val="00AE2E61"/>
    <w:rsid w:val="00AE3E31"/>
    <w:rsid w:val="00AE462E"/>
    <w:rsid w:val="00AE4D11"/>
    <w:rsid w:val="00AE4EAD"/>
    <w:rsid w:val="00AE5232"/>
    <w:rsid w:val="00AF02E0"/>
    <w:rsid w:val="00AF2809"/>
    <w:rsid w:val="00AF4646"/>
    <w:rsid w:val="00AF72F5"/>
    <w:rsid w:val="00AF7807"/>
    <w:rsid w:val="00B00838"/>
    <w:rsid w:val="00B026AF"/>
    <w:rsid w:val="00B02746"/>
    <w:rsid w:val="00B0290A"/>
    <w:rsid w:val="00B036DF"/>
    <w:rsid w:val="00B057E4"/>
    <w:rsid w:val="00B06D31"/>
    <w:rsid w:val="00B100F2"/>
    <w:rsid w:val="00B118F0"/>
    <w:rsid w:val="00B13877"/>
    <w:rsid w:val="00B14FC8"/>
    <w:rsid w:val="00B15D1A"/>
    <w:rsid w:val="00B16C01"/>
    <w:rsid w:val="00B212F2"/>
    <w:rsid w:val="00B22583"/>
    <w:rsid w:val="00B23AD2"/>
    <w:rsid w:val="00B2755F"/>
    <w:rsid w:val="00B27F7E"/>
    <w:rsid w:val="00B32DB2"/>
    <w:rsid w:val="00B338F7"/>
    <w:rsid w:val="00B35CCD"/>
    <w:rsid w:val="00B3671F"/>
    <w:rsid w:val="00B373BB"/>
    <w:rsid w:val="00B37A40"/>
    <w:rsid w:val="00B40CDA"/>
    <w:rsid w:val="00B41EA9"/>
    <w:rsid w:val="00B43CBB"/>
    <w:rsid w:val="00B4563D"/>
    <w:rsid w:val="00B4608B"/>
    <w:rsid w:val="00B4622B"/>
    <w:rsid w:val="00B47E4E"/>
    <w:rsid w:val="00B50D3F"/>
    <w:rsid w:val="00B51612"/>
    <w:rsid w:val="00B54BA2"/>
    <w:rsid w:val="00B62CFF"/>
    <w:rsid w:val="00B63227"/>
    <w:rsid w:val="00B66756"/>
    <w:rsid w:val="00B71CF7"/>
    <w:rsid w:val="00B75469"/>
    <w:rsid w:val="00B77B33"/>
    <w:rsid w:val="00B813FE"/>
    <w:rsid w:val="00B835A3"/>
    <w:rsid w:val="00B8623A"/>
    <w:rsid w:val="00B86C5B"/>
    <w:rsid w:val="00B87623"/>
    <w:rsid w:val="00B9027D"/>
    <w:rsid w:val="00B91C92"/>
    <w:rsid w:val="00B95137"/>
    <w:rsid w:val="00B95B41"/>
    <w:rsid w:val="00B96CC3"/>
    <w:rsid w:val="00B96EC8"/>
    <w:rsid w:val="00BA26E7"/>
    <w:rsid w:val="00BA4D44"/>
    <w:rsid w:val="00BA5148"/>
    <w:rsid w:val="00BA59E5"/>
    <w:rsid w:val="00BA5EAA"/>
    <w:rsid w:val="00BA65E9"/>
    <w:rsid w:val="00BA6B08"/>
    <w:rsid w:val="00BA6BA1"/>
    <w:rsid w:val="00BB0A4D"/>
    <w:rsid w:val="00BB3323"/>
    <w:rsid w:val="00BB388C"/>
    <w:rsid w:val="00BB624F"/>
    <w:rsid w:val="00BC3D1A"/>
    <w:rsid w:val="00BC5538"/>
    <w:rsid w:val="00BD0537"/>
    <w:rsid w:val="00BD05DC"/>
    <w:rsid w:val="00BD07FA"/>
    <w:rsid w:val="00BD08AE"/>
    <w:rsid w:val="00BD125C"/>
    <w:rsid w:val="00BD1E1A"/>
    <w:rsid w:val="00BD3200"/>
    <w:rsid w:val="00BD36D6"/>
    <w:rsid w:val="00BD581A"/>
    <w:rsid w:val="00BD6C63"/>
    <w:rsid w:val="00BD76E4"/>
    <w:rsid w:val="00BD7C5E"/>
    <w:rsid w:val="00BE0326"/>
    <w:rsid w:val="00BE1500"/>
    <w:rsid w:val="00BE1873"/>
    <w:rsid w:val="00BE192B"/>
    <w:rsid w:val="00BE1D65"/>
    <w:rsid w:val="00BE378A"/>
    <w:rsid w:val="00BE6722"/>
    <w:rsid w:val="00BF0CE2"/>
    <w:rsid w:val="00BF344E"/>
    <w:rsid w:val="00BF37B5"/>
    <w:rsid w:val="00BF392D"/>
    <w:rsid w:val="00BF7265"/>
    <w:rsid w:val="00BF7986"/>
    <w:rsid w:val="00BF7A8D"/>
    <w:rsid w:val="00BF7E55"/>
    <w:rsid w:val="00C01204"/>
    <w:rsid w:val="00C015ED"/>
    <w:rsid w:val="00C0257B"/>
    <w:rsid w:val="00C03153"/>
    <w:rsid w:val="00C035B8"/>
    <w:rsid w:val="00C04C71"/>
    <w:rsid w:val="00C052D6"/>
    <w:rsid w:val="00C067D9"/>
    <w:rsid w:val="00C06A05"/>
    <w:rsid w:val="00C07050"/>
    <w:rsid w:val="00C07AC0"/>
    <w:rsid w:val="00C1120A"/>
    <w:rsid w:val="00C12B57"/>
    <w:rsid w:val="00C132FA"/>
    <w:rsid w:val="00C13380"/>
    <w:rsid w:val="00C144AB"/>
    <w:rsid w:val="00C14F4E"/>
    <w:rsid w:val="00C17B6C"/>
    <w:rsid w:val="00C201F9"/>
    <w:rsid w:val="00C21538"/>
    <w:rsid w:val="00C215A9"/>
    <w:rsid w:val="00C21FF7"/>
    <w:rsid w:val="00C3023C"/>
    <w:rsid w:val="00C3219C"/>
    <w:rsid w:val="00C333B2"/>
    <w:rsid w:val="00C334A6"/>
    <w:rsid w:val="00C34085"/>
    <w:rsid w:val="00C34554"/>
    <w:rsid w:val="00C357B1"/>
    <w:rsid w:val="00C35AB0"/>
    <w:rsid w:val="00C35EDF"/>
    <w:rsid w:val="00C363DD"/>
    <w:rsid w:val="00C364A2"/>
    <w:rsid w:val="00C41662"/>
    <w:rsid w:val="00C41875"/>
    <w:rsid w:val="00C41C40"/>
    <w:rsid w:val="00C420DC"/>
    <w:rsid w:val="00C421AE"/>
    <w:rsid w:val="00C421D1"/>
    <w:rsid w:val="00C4362B"/>
    <w:rsid w:val="00C4409F"/>
    <w:rsid w:val="00C441FC"/>
    <w:rsid w:val="00C446C4"/>
    <w:rsid w:val="00C44F75"/>
    <w:rsid w:val="00C4544B"/>
    <w:rsid w:val="00C45E48"/>
    <w:rsid w:val="00C466AA"/>
    <w:rsid w:val="00C4784C"/>
    <w:rsid w:val="00C517B9"/>
    <w:rsid w:val="00C54B58"/>
    <w:rsid w:val="00C550C4"/>
    <w:rsid w:val="00C57229"/>
    <w:rsid w:val="00C57E6D"/>
    <w:rsid w:val="00C6136C"/>
    <w:rsid w:val="00C61451"/>
    <w:rsid w:val="00C63B78"/>
    <w:rsid w:val="00C648D9"/>
    <w:rsid w:val="00C66099"/>
    <w:rsid w:val="00C66B9D"/>
    <w:rsid w:val="00C67988"/>
    <w:rsid w:val="00C70BC8"/>
    <w:rsid w:val="00C71DF9"/>
    <w:rsid w:val="00C71FA3"/>
    <w:rsid w:val="00C73DA7"/>
    <w:rsid w:val="00C74819"/>
    <w:rsid w:val="00C75603"/>
    <w:rsid w:val="00C75B6A"/>
    <w:rsid w:val="00C75C71"/>
    <w:rsid w:val="00C770EF"/>
    <w:rsid w:val="00C82ACC"/>
    <w:rsid w:val="00C835EC"/>
    <w:rsid w:val="00C83F95"/>
    <w:rsid w:val="00C840B0"/>
    <w:rsid w:val="00C8611F"/>
    <w:rsid w:val="00C87283"/>
    <w:rsid w:val="00C90164"/>
    <w:rsid w:val="00C909D6"/>
    <w:rsid w:val="00C9514A"/>
    <w:rsid w:val="00CA055F"/>
    <w:rsid w:val="00CA2452"/>
    <w:rsid w:val="00CA6797"/>
    <w:rsid w:val="00CB41DE"/>
    <w:rsid w:val="00CB452D"/>
    <w:rsid w:val="00CB5470"/>
    <w:rsid w:val="00CB5CAC"/>
    <w:rsid w:val="00CB7F19"/>
    <w:rsid w:val="00CC4D47"/>
    <w:rsid w:val="00CC5E17"/>
    <w:rsid w:val="00CC6160"/>
    <w:rsid w:val="00CC6882"/>
    <w:rsid w:val="00CC7882"/>
    <w:rsid w:val="00CC7CED"/>
    <w:rsid w:val="00CD14DC"/>
    <w:rsid w:val="00CD24E8"/>
    <w:rsid w:val="00CD2716"/>
    <w:rsid w:val="00CD2B00"/>
    <w:rsid w:val="00CD4CBD"/>
    <w:rsid w:val="00CD6492"/>
    <w:rsid w:val="00CD6FF7"/>
    <w:rsid w:val="00CD7FD0"/>
    <w:rsid w:val="00CE00F7"/>
    <w:rsid w:val="00CE0AC7"/>
    <w:rsid w:val="00CE1A70"/>
    <w:rsid w:val="00CE5A25"/>
    <w:rsid w:val="00CE5C84"/>
    <w:rsid w:val="00CE6A27"/>
    <w:rsid w:val="00CF0259"/>
    <w:rsid w:val="00CF03D7"/>
    <w:rsid w:val="00CF0803"/>
    <w:rsid w:val="00CF1E19"/>
    <w:rsid w:val="00CF2B04"/>
    <w:rsid w:val="00CF2BE1"/>
    <w:rsid w:val="00CF661D"/>
    <w:rsid w:val="00CF6D2C"/>
    <w:rsid w:val="00D00EE0"/>
    <w:rsid w:val="00D019F2"/>
    <w:rsid w:val="00D039B6"/>
    <w:rsid w:val="00D0676B"/>
    <w:rsid w:val="00D14CED"/>
    <w:rsid w:val="00D15292"/>
    <w:rsid w:val="00D15DE2"/>
    <w:rsid w:val="00D21495"/>
    <w:rsid w:val="00D22885"/>
    <w:rsid w:val="00D22F65"/>
    <w:rsid w:val="00D230AD"/>
    <w:rsid w:val="00D231E5"/>
    <w:rsid w:val="00D23FAC"/>
    <w:rsid w:val="00D24FCD"/>
    <w:rsid w:val="00D2542E"/>
    <w:rsid w:val="00D27ADF"/>
    <w:rsid w:val="00D332E0"/>
    <w:rsid w:val="00D344FD"/>
    <w:rsid w:val="00D3533B"/>
    <w:rsid w:val="00D36177"/>
    <w:rsid w:val="00D36D3E"/>
    <w:rsid w:val="00D42FEB"/>
    <w:rsid w:val="00D43152"/>
    <w:rsid w:val="00D4398A"/>
    <w:rsid w:val="00D44A5C"/>
    <w:rsid w:val="00D4539F"/>
    <w:rsid w:val="00D51B05"/>
    <w:rsid w:val="00D52002"/>
    <w:rsid w:val="00D52390"/>
    <w:rsid w:val="00D52ABD"/>
    <w:rsid w:val="00D5330A"/>
    <w:rsid w:val="00D5385C"/>
    <w:rsid w:val="00D5485A"/>
    <w:rsid w:val="00D555D3"/>
    <w:rsid w:val="00D573FC"/>
    <w:rsid w:val="00D625BE"/>
    <w:rsid w:val="00D6456E"/>
    <w:rsid w:val="00D64780"/>
    <w:rsid w:val="00D664D9"/>
    <w:rsid w:val="00D66660"/>
    <w:rsid w:val="00D708CC"/>
    <w:rsid w:val="00D710C4"/>
    <w:rsid w:val="00D710FA"/>
    <w:rsid w:val="00D72066"/>
    <w:rsid w:val="00D72A67"/>
    <w:rsid w:val="00D72DD8"/>
    <w:rsid w:val="00D7330C"/>
    <w:rsid w:val="00D75B27"/>
    <w:rsid w:val="00D77A00"/>
    <w:rsid w:val="00D81082"/>
    <w:rsid w:val="00D81B51"/>
    <w:rsid w:val="00D81E8C"/>
    <w:rsid w:val="00D83077"/>
    <w:rsid w:val="00D847AB"/>
    <w:rsid w:val="00D84C6B"/>
    <w:rsid w:val="00D85DDD"/>
    <w:rsid w:val="00D85F2B"/>
    <w:rsid w:val="00D87487"/>
    <w:rsid w:val="00D87828"/>
    <w:rsid w:val="00D93B01"/>
    <w:rsid w:val="00D941F1"/>
    <w:rsid w:val="00D947D3"/>
    <w:rsid w:val="00D94EFD"/>
    <w:rsid w:val="00D94FD8"/>
    <w:rsid w:val="00D9578C"/>
    <w:rsid w:val="00D96268"/>
    <w:rsid w:val="00D9654E"/>
    <w:rsid w:val="00DA326B"/>
    <w:rsid w:val="00DA4837"/>
    <w:rsid w:val="00DA4DEA"/>
    <w:rsid w:val="00DA5486"/>
    <w:rsid w:val="00DA6491"/>
    <w:rsid w:val="00DA6CCB"/>
    <w:rsid w:val="00DA7AA5"/>
    <w:rsid w:val="00DB1893"/>
    <w:rsid w:val="00DB1FDA"/>
    <w:rsid w:val="00DB298B"/>
    <w:rsid w:val="00DB4196"/>
    <w:rsid w:val="00DB5CC1"/>
    <w:rsid w:val="00DC14AD"/>
    <w:rsid w:val="00DC1916"/>
    <w:rsid w:val="00DC1B6C"/>
    <w:rsid w:val="00DC2DEC"/>
    <w:rsid w:val="00DC3316"/>
    <w:rsid w:val="00DC3ADA"/>
    <w:rsid w:val="00DC49B6"/>
    <w:rsid w:val="00DC4C5E"/>
    <w:rsid w:val="00DC64A0"/>
    <w:rsid w:val="00DC7180"/>
    <w:rsid w:val="00DC7C1E"/>
    <w:rsid w:val="00DD1145"/>
    <w:rsid w:val="00DD1A74"/>
    <w:rsid w:val="00DD1D12"/>
    <w:rsid w:val="00DD34AF"/>
    <w:rsid w:val="00DD4338"/>
    <w:rsid w:val="00DD525B"/>
    <w:rsid w:val="00DD6B32"/>
    <w:rsid w:val="00DD74C8"/>
    <w:rsid w:val="00DD75DB"/>
    <w:rsid w:val="00DD7EED"/>
    <w:rsid w:val="00DE00D3"/>
    <w:rsid w:val="00DE1E52"/>
    <w:rsid w:val="00DE2AB3"/>
    <w:rsid w:val="00DE376B"/>
    <w:rsid w:val="00DE6A34"/>
    <w:rsid w:val="00DE758F"/>
    <w:rsid w:val="00DE773F"/>
    <w:rsid w:val="00DF19E5"/>
    <w:rsid w:val="00DF335F"/>
    <w:rsid w:val="00DF37D7"/>
    <w:rsid w:val="00DF5D55"/>
    <w:rsid w:val="00DF6D64"/>
    <w:rsid w:val="00E02A49"/>
    <w:rsid w:val="00E032FE"/>
    <w:rsid w:val="00E04C76"/>
    <w:rsid w:val="00E10D3B"/>
    <w:rsid w:val="00E14191"/>
    <w:rsid w:val="00E14E67"/>
    <w:rsid w:val="00E20673"/>
    <w:rsid w:val="00E20E8A"/>
    <w:rsid w:val="00E222C2"/>
    <w:rsid w:val="00E26CB1"/>
    <w:rsid w:val="00E26CE3"/>
    <w:rsid w:val="00E272CE"/>
    <w:rsid w:val="00E308F2"/>
    <w:rsid w:val="00E33794"/>
    <w:rsid w:val="00E344B5"/>
    <w:rsid w:val="00E34FEB"/>
    <w:rsid w:val="00E35C30"/>
    <w:rsid w:val="00E3616B"/>
    <w:rsid w:val="00E36A3D"/>
    <w:rsid w:val="00E36C8B"/>
    <w:rsid w:val="00E40281"/>
    <w:rsid w:val="00E41457"/>
    <w:rsid w:val="00E4298D"/>
    <w:rsid w:val="00E43B10"/>
    <w:rsid w:val="00E45F94"/>
    <w:rsid w:val="00E461AC"/>
    <w:rsid w:val="00E502B8"/>
    <w:rsid w:val="00E51AFD"/>
    <w:rsid w:val="00E52063"/>
    <w:rsid w:val="00E53095"/>
    <w:rsid w:val="00E53188"/>
    <w:rsid w:val="00E535D1"/>
    <w:rsid w:val="00E54607"/>
    <w:rsid w:val="00E54EA3"/>
    <w:rsid w:val="00E56EEE"/>
    <w:rsid w:val="00E609DA"/>
    <w:rsid w:val="00E62835"/>
    <w:rsid w:val="00E64314"/>
    <w:rsid w:val="00E65EBF"/>
    <w:rsid w:val="00E66A98"/>
    <w:rsid w:val="00E66B3E"/>
    <w:rsid w:val="00E66E5E"/>
    <w:rsid w:val="00E718FA"/>
    <w:rsid w:val="00E7252C"/>
    <w:rsid w:val="00E74B6E"/>
    <w:rsid w:val="00E76DC8"/>
    <w:rsid w:val="00E77417"/>
    <w:rsid w:val="00E8470E"/>
    <w:rsid w:val="00E84E06"/>
    <w:rsid w:val="00E8678D"/>
    <w:rsid w:val="00E86C8F"/>
    <w:rsid w:val="00E90D04"/>
    <w:rsid w:val="00E911BF"/>
    <w:rsid w:val="00E91D5D"/>
    <w:rsid w:val="00E92119"/>
    <w:rsid w:val="00E92EF4"/>
    <w:rsid w:val="00E94197"/>
    <w:rsid w:val="00E95B59"/>
    <w:rsid w:val="00EA027B"/>
    <w:rsid w:val="00EA3571"/>
    <w:rsid w:val="00EA52D8"/>
    <w:rsid w:val="00EB17E2"/>
    <w:rsid w:val="00EB1D31"/>
    <w:rsid w:val="00EB4639"/>
    <w:rsid w:val="00EB49AB"/>
    <w:rsid w:val="00EB53EF"/>
    <w:rsid w:val="00EB7A0E"/>
    <w:rsid w:val="00EC1622"/>
    <w:rsid w:val="00EC1712"/>
    <w:rsid w:val="00EC1954"/>
    <w:rsid w:val="00EC1967"/>
    <w:rsid w:val="00EC2A14"/>
    <w:rsid w:val="00EC380A"/>
    <w:rsid w:val="00EC44A0"/>
    <w:rsid w:val="00EC45EB"/>
    <w:rsid w:val="00EC4E23"/>
    <w:rsid w:val="00EC5132"/>
    <w:rsid w:val="00EC58D4"/>
    <w:rsid w:val="00EC727D"/>
    <w:rsid w:val="00ED1E90"/>
    <w:rsid w:val="00ED207F"/>
    <w:rsid w:val="00ED21B5"/>
    <w:rsid w:val="00ED30F9"/>
    <w:rsid w:val="00ED3707"/>
    <w:rsid w:val="00ED55E9"/>
    <w:rsid w:val="00ED60A7"/>
    <w:rsid w:val="00ED6D77"/>
    <w:rsid w:val="00ED7F18"/>
    <w:rsid w:val="00EE115F"/>
    <w:rsid w:val="00EE2AD3"/>
    <w:rsid w:val="00EE4BD5"/>
    <w:rsid w:val="00EE6321"/>
    <w:rsid w:val="00EE651D"/>
    <w:rsid w:val="00EE7DB7"/>
    <w:rsid w:val="00EF0669"/>
    <w:rsid w:val="00EF1766"/>
    <w:rsid w:val="00EF3C44"/>
    <w:rsid w:val="00EF43CA"/>
    <w:rsid w:val="00EF4D1C"/>
    <w:rsid w:val="00EF5275"/>
    <w:rsid w:val="00EF6C8D"/>
    <w:rsid w:val="00EF7A52"/>
    <w:rsid w:val="00F017BC"/>
    <w:rsid w:val="00F03F19"/>
    <w:rsid w:val="00F0427D"/>
    <w:rsid w:val="00F044BC"/>
    <w:rsid w:val="00F1020B"/>
    <w:rsid w:val="00F10B1A"/>
    <w:rsid w:val="00F20B03"/>
    <w:rsid w:val="00F20F29"/>
    <w:rsid w:val="00F23F23"/>
    <w:rsid w:val="00F249FB"/>
    <w:rsid w:val="00F266EE"/>
    <w:rsid w:val="00F26E57"/>
    <w:rsid w:val="00F27703"/>
    <w:rsid w:val="00F3009D"/>
    <w:rsid w:val="00F32E8C"/>
    <w:rsid w:val="00F40598"/>
    <w:rsid w:val="00F41E26"/>
    <w:rsid w:val="00F431A2"/>
    <w:rsid w:val="00F43BB8"/>
    <w:rsid w:val="00F4422B"/>
    <w:rsid w:val="00F44446"/>
    <w:rsid w:val="00F452AB"/>
    <w:rsid w:val="00F45AFA"/>
    <w:rsid w:val="00F46A17"/>
    <w:rsid w:val="00F51821"/>
    <w:rsid w:val="00F51D7E"/>
    <w:rsid w:val="00F523E1"/>
    <w:rsid w:val="00F52584"/>
    <w:rsid w:val="00F5552D"/>
    <w:rsid w:val="00F56A92"/>
    <w:rsid w:val="00F624DC"/>
    <w:rsid w:val="00F62A09"/>
    <w:rsid w:val="00F63C9B"/>
    <w:rsid w:val="00F63D98"/>
    <w:rsid w:val="00F65F08"/>
    <w:rsid w:val="00F675F3"/>
    <w:rsid w:val="00F676A4"/>
    <w:rsid w:val="00F67829"/>
    <w:rsid w:val="00F71646"/>
    <w:rsid w:val="00F738BD"/>
    <w:rsid w:val="00F760CB"/>
    <w:rsid w:val="00F769E6"/>
    <w:rsid w:val="00F8322A"/>
    <w:rsid w:val="00F85377"/>
    <w:rsid w:val="00F9036B"/>
    <w:rsid w:val="00F90A1B"/>
    <w:rsid w:val="00F93F96"/>
    <w:rsid w:val="00F9461F"/>
    <w:rsid w:val="00F94E42"/>
    <w:rsid w:val="00F9562C"/>
    <w:rsid w:val="00F96CF5"/>
    <w:rsid w:val="00FA0299"/>
    <w:rsid w:val="00FA22DC"/>
    <w:rsid w:val="00FA29DE"/>
    <w:rsid w:val="00FA2AEF"/>
    <w:rsid w:val="00FA418F"/>
    <w:rsid w:val="00FA7135"/>
    <w:rsid w:val="00FB1199"/>
    <w:rsid w:val="00FB1B72"/>
    <w:rsid w:val="00FB203C"/>
    <w:rsid w:val="00FB28BA"/>
    <w:rsid w:val="00FB3491"/>
    <w:rsid w:val="00FB398B"/>
    <w:rsid w:val="00FB3C87"/>
    <w:rsid w:val="00FB3EC8"/>
    <w:rsid w:val="00FC0D31"/>
    <w:rsid w:val="00FC0FBD"/>
    <w:rsid w:val="00FC1036"/>
    <w:rsid w:val="00FC1585"/>
    <w:rsid w:val="00FC3A65"/>
    <w:rsid w:val="00FC5643"/>
    <w:rsid w:val="00FC6D26"/>
    <w:rsid w:val="00FD3004"/>
    <w:rsid w:val="00FD3280"/>
    <w:rsid w:val="00FD3904"/>
    <w:rsid w:val="00FD56B3"/>
    <w:rsid w:val="00FD62F7"/>
    <w:rsid w:val="00FD76DA"/>
    <w:rsid w:val="00FE072F"/>
    <w:rsid w:val="00FE08E1"/>
    <w:rsid w:val="00FE0B6C"/>
    <w:rsid w:val="00FE2699"/>
    <w:rsid w:val="00FE2D79"/>
    <w:rsid w:val="00FE3797"/>
    <w:rsid w:val="00FE4ED8"/>
    <w:rsid w:val="00FE6F5A"/>
    <w:rsid w:val="00FE79D4"/>
    <w:rsid w:val="00FF09A0"/>
    <w:rsid w:val="00FF0D4E"/>
    <w:rsid w:val="00FF270F"/>
    <w:rsid w:val="00FF3E48"/>
    <w:rsid w:val="00FF5630"/>
    <w:rsid w:val="00FF6B3F"/>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0B9"/>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 w:type="paragraph" w:styleId="CommentText">
    <w:name w:val="annotation text"/>
    <w:basedOn w:val="Normal"/>
    <w:link w:val="CommentTextChar"/>
    <w:uiPriority w:val="99"/>
    <w:unhideWhenUsed/>
    <w:rsid w:val="00264597"/>
    <w:rPr>
      <w:rFonts w:eastAsia="Calibri"/>
      <w:color w:val="auto"/>
      <w:sz w:val="20"/>
    </w:rPr>
  </w:style>
  <w:style w:type="character" w:customStyle="1" w:styleId="CommentTextChar">
    <w:name w:val="Comment Text Char"/>
    <w:basedOn w:val="DefaultParagraphFont"/>
    <w:link w:val="CommentText"/>
    <w:uiPriority w:val="99"/>
    <w:rsid w:val="00264597"/>
    <w:rPr>
      <w:rFonts w:ascii="Times New Roman" w:hAnsi="Times New Roman" w:cs="Times New Roman"/>
    </w:rPr>
  </w:style>
  <w:style w:type="character" w:styleId="CommentReference">
    <w:name w:val="annotation reference"/>
    <w:basedOn w:val="DefaultParagraphFont"/>
    <w:uiPriority w:val="99"/>
    <w:semiHidden/>
    <w:unhideWhenUsed/>
    <w:rsid w:val="003168A6"/>
    <w:rPr>
      <w:sz w:val="16"/>
      <w:szCs w:val="16"/>
    </w:rPr>
  </w:style>
  <w:style w:type="paragraph" w:styleId="CommentSubject">
    <w:name w:val="annotation subject"/>
    <w:basedOn w:val="CommentText"/>
    <w:next w:val="CommentText"/>
    <w:link w:val="CommentSubjectChar"/>
    <w:uiPriority w:val="99"/>
    <w:semiHidden/>
    <w:unhideWhenUsed/>
    <w:rsid w:val="003168A6"/>
    <w:rPr>
      <w:rFonts w:eastAsia="Times New Roman"/>
      <w:b/>
      <w:bCs/>
      <w:color w:val="000000"/>
    </w:rPr>
  </w:style>
  <w:style w:type="character" w:customStyle="1" w:styleId="CommentSubjectChar">
    <w:name w:val="Comment Subject Char"/>
    <w:basedOn w:val="CommentTextChar"/>
    <w:link w:val="CommentSubject"/>
    <w:uiPriority w:val="99"/>
    <w:semiHidden/>
    <w:rsid w:val="003168A6"/>
    <w:rPr>
      <w:rFonts w:ascii="Times New Roman" w:eastAsia="Times New Roman" w:hAnsi="Times New Roman" w:cs="Times New Roman"/>
      <w:b/>
      <w:bCs/>
      <w:color w:val="000000"/>
    </w:rPr>
  </w:style>
  <w:style w:type="character" w:customStyle="1" w:styleId="EmailStyle40">
    <w:name w:val="EmailStyle40"/>
    <w:semiHidden/>
    <w:rsid w:val="00EC44A0"/>
    <w:rPr>
      <w:rFonts w:ascii="Arial" w:hAnsi="Arial" w:cs="Arial"/>
      <w:color w:val="000080"/>
      <w:sz w:val="20"/>
    </w:rPr>
  </w:style>
  <w:style w:type="character" w:styleId="Strong">
    <w:name w:val="Strong"/>
    <w:uiPriority w:val="22"/>
    <w:qFormat/>
    <w:rsid w:val="002209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0B9"/>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 w:type="paragraph" w:styleId="CommentText">
    <w:name w:val="annotation text"/>
    <w:basedOn w:val="Normal"/>
    <w:link w:val="CommentTextChar"/>
    <w:uiPriority w:val="99"/>
    <w:unhideWhenUsed/>
    <w:rsid w:val="00264597"/>
    <w:rPr>
      <w:rFonts w:eastAsia="Calibri"/>
      <w:color w:val="auto"/>
      <w:sz w:val="20"/>
    </w:rPr>
  </w:style>
  <w:style w:type="character" w:customStyle="1" w:styleId="CommentTextChar">
    <w:name w:val="Comment Text Char"/>
    <w:basedOn w:val="DefaultParagraphFont"/>
    <w:link w:val="CommentText"/>
    <w:uiPriority w:val="99"/>
    <w:rsid w:val="00264597"/>
    <w:rPr>
      <w:rFonts w:ascii="Times New Roman" w:hAnsi="Times New Roman" w:cs="Times New Roman"/>
    </w:rPr>
  </w:style>
  <w:style w:type="character" w:styleId="CommentReference">
    <w:name w:val="annotation reference"/>
    <w:basedOn w:val="DefaultParagraphFont"/>
    <w:uiPriority w:val="99"/>
    <w:semiHidden/>
    <w:unhideWhenUsed/>
    <w:rsid w:val="003168A6"/>
    <w:rPr>
      <w:sz w:val="16"/>
      <w:szCs w:val="16"/>
    </w:rPr>
  </w:style>
  <w:style w:type="paragraph" w:styleId="CommentSubject">
    <w:name w:val="annotation subject"/>
    <w:basedOn w:val="CommentText"/>
    <w:next w:val="CommentText"/>
    <w:link w:val="CommentSubjectChar"/>
    <w:uiPriority w:val="99"/>
    <w:semiHidden/>
    <w:unhideWhenUsed/>
    <w:rsid w:val="003168A6"/>
    <w:rPr>
      <w:rFonts w:eastAsia="Times New Roman"/>
      <w:b/>
      <w:bCs/>
      <w:color w:val="000000"/>
    </w:rPr>
  </w:style>
  <w:style w:type="character" w:customStyle="1" w:styleId="CommentSubjectChar">
    <w:name w:val="Comment Subject Char"/>
    <w:basedOn w:val="CommentTextChar"/>
    <w:link w:val="CommentSubject"/>
    <w:uiPriority w:val="99"/>
    <w:semiHidden/>
    <w:rsid w:val="003168A6"/>
    <w:rPr>
      <w:rFonts w:ascii="Times New Roman" w:eastAsia="Times New Roman" w:hAnsi="Times New Roman" w:cs="Times New Roman"/>
      <w:b/>
      <w:bCs/>
      <w:color w:val="000000"/>
    </w:rPr>
  </w:style>
  <w:style w:type="character" w:customStyle="1" w:styleId="EmailStyle40">
    <w:name w:val="EmailStyle40"/>
    <w:semiHidden/>
    <w:rsid w:val="00EC44A0"/>
    <w:rPr>
      <w:rFonts w:ascii="Arial" w:hAnsi="Arial" w:cs="Arial"/>
      <w:color w:val="000080"/>
      <w:sz w:val="20"/>
    </w:rPr>
  </w:style>
  <w:style w:type="character" w:styleId="Strong">
    <w:name w:val="Strong"/>
    <w:uiPriority w:val="22"/>
    <w:qFormat/>
    <w:rsid w:val="002209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5585">
      <w:bodyDiv w:val="1"/>
      <w:marLeft w:val="0"/>
      <w:marRight w:val="0"/>
      <w:marTop w:val="0"/>
      <w:marBottom w:val="0"/>
      <w:divBdr>
        <w:top w:val="none" w:sz="0" w:space="0" w:color="auto"/>
        <w:left w:val="none" w:sz="0" w:space="0" w:color="auto"/>
        <w:bottom w:val="none" w:sz="0" w:space="0" w:color="auto"/>
        <w:right w:val="none" w:sz="0" w:space="0" w:color="auto"/>
      </w:divBdr>
    </w:div>
    <w:div w:id="1020399611">
      <w:bodyDiv w:val="1"/>
      <w:marLeft w:val="0"/>
      <w:marRight w:val="0"/>
      <w:marTop w:val="0"/>
      <w:marBottom w:val="0"/>
      <w:divBdr>
        <w:top w:val="none" w:sz="0" w:space="0" w:color="auto"/>
        <w:left w:val="none" w:sz="0" w:space="0" w:color="auto"/>
        <w:bottom w:val="none" w:sz="0" w:space="0" w:color="auto"/>
        <w:right w:val="none" w:sz="0" w:space="0" w:color="auto"/>
      </w:divBdr>
    </w:div>
    <w:div w:id="1059011575">
      <w:bodyDiv w:val="1"/>
      <w:marLeft w:val="0"/>
      <w:marRight w:val="0"/>
      <w:marTop w:val="0"/>
      <w:marBottom w:val="0"/>
      <w:divBdr>
        <w:top w:val="none" w:sz="0" w:space="0" w:color="auto"/>
        <w:left w:val="none" w:sz="0" w:space="0" w:color="auto"/>
        <w:bottom w:val="none" w:sz="0" w:space="0" w:color="auto"/>
        <w:right w:val="none" w:sz="0" w:space="0" w:color="auto"/>
      </w:divBdr>
    </w:div>
    <w:div w:id="1184704862">
      <w:bodyDiv w:val="1"/>
      <w:marLeft w:val="0"/>
      <w:marRight w:val="0"/>
      <w:marTop w:val="0"/>
      <w:marBottom w:val="0"/>
      <w:divBdr>
        <w:top w:val="none" w:sz="0" w:space="0" w:color="auto"/>
        <w:left w:val="none" w:sz="0" w:space="0" w:color="auto"/>
        <w:bottom w:val="none" w:sz="0" w:space="0" w:color="auto"/>
        <w:right w:val="none" w:sz="0" w:space="0" w:color="auto"/>
      </w:divBdr>
    </w:div>
    <w:div w:id="1221943936">
      <w:bodyDiv w:val="1"/>
      <w:marLeft w:val="0"/>
      <w:marRight w:val="0"/>
      <w:marTop w:val="0"/>
      <w:marBottom w:val="0"/>
      <w:divBdr>
        <w:top w:val="none" w:sz="0" w:space="0" w:color="auto"/>
        <w:left w:val="none" w:sz="0" w:space="0" w:color="auto"/>
        <w:bottom w:val="none" w:sz="0" w:space="0" w:color="auto"/>
        <w:right w:val="none" w:sz="0" w:space="0" w:color="auto"/>
      </w:divBdr>
    </w:div>
    <w:div w:id="173134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wcrules@dir.ca.gov"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C3DD1-DEF1-4567-A1A7-270EE6EBB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2449</Words>
  <Characters>13963</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16380</CharactersWithSpaces>
  <SharedDoc>false</SharedDoc>
  <HyperlinkBase/>
  <HLinks>
    <vt:vector size="6" baseType="variant">
      <vt:variant>
        <vt:i4>131172</vt:i4>
      </vt:variant>
      <vt:variant>
        <vt:i4>0</vt:i4>
      </vt:variant>
      <vt:variant>
        <vt:i4>0</vt:i4>
      </vt:variant>
      <vt:variant>
        <vt:i4>5</vt:i4>
      </vt:variant>
      <vt:variant>
        <vt:lpwstr>mailto:dwcrules@dir.ca.gov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2014-12-10T18:36:00Z</dcterms:created>
  <dcterms:modified xsi:type="dcterms:W3CDTF">2014-12-10T18:36:00Z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UFAAPw6bUgrQkNHvdCI5R0aDJDxxNnyWgtGgOC8fU3Ol2NcqspAw4wdMUdSBZ4guTjqb89LPgRabiWmh
9ZTK2yVEIgGyZl7T4XwAWlZ5GYMYyonnjWqB1BOujkzhzByA4vDUV1wYOSulWmhokAld/qvF5wD9
F2ViqrTAenmgatMImDOrnnmXEHDsPFh91Ykb54o3/9qg3UBdNq2lVgepLJUqoEXwkyHh419dl4w3
hVFudm6TZnx2HWWWz</vt:lpwstr>
  </property>
  <property fmtid="{D5CDD505-2E9C-101B-9397-08002B2CF9AE}" pid="3" name="MAIL_MSG_ID2">
    <vt:lpwstr>iM33pxCSmaXqkcJqp+k1pvbtdTr9bfH1ZNO0kmnblhVCx/oQSzRh3dAOJkM
HgOwOhRmvaNevr647EAJOfDpUeY=</vt:lpwstr>
  </property>
  <property fmtid="{D5CDD505-2E9C-101B-9397-08002B2CF9AE}" pid="4" name="RESPONSE_SENDER_NAME">
    <vt:lpwstr>gAAAJ+PfKkF/6hgAGBkMUPVzat6SnYlA5vQZ</vt:lpwstr>
  </property>
  <property fmtid="{D5CDD505-2E9C-101B-9397-08002B2CF9AE}" pid="5" name="EMAIL_OWNER_ADDRESS">
    <vt:lpwstr>4AAAMz5NUQ6P8J+PgfzMdsEeVTsJwqeT4e36dYfrMg8yYb7YB/HoHF0y1Q==</vt:lpwstr>
  </property>
</Properties>
</file>