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CC" w:rsidRPr="00DA1D1E" w:rsidRDefault="00A133CC" w:rsidP="00A133CC">
      <w:pPr>
        <w:pStyle w:val="MessageHeader"/>
        <w:spacing w:after="0" w:line="240" w:lineRule="auto"/>
        <w:ind w:left="0" w:firstLine="0"/>
        <w:jc w:val="center"/>
        <w:rPr>
          <w:rFonts w:cs="Arial"/>
          <w:sz w:val="22"/>
          <w:szCs w:val="22"/>
        </w:rPr>
      </w:pPr>
      <w:r w:rsidRPr="00DA1D1E">
        <w:rPr>
          <w:rFonts w:cs="Arial"/>
          <w:noProof/>
          <w:sz w:val="22"/>
          <w:szCs w:val="22"/>
        </w:rPr>
        <w:drawing>
          <wp:inline distT="0" distB="0" distL="0" distR="0" wp14:anchorId="12D9D601" wp14:editId="49F3A55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A133CC" w:rsidRPr="006A39AE" w:rsidRDefault="00A133CC" w:rsidP="00A133CC">
      <w:pPr>
        <w:pStyle w:val="MessageHeader"/>
        <w:spacing w:after="0" w:line="240" w:lineRule="auto"/>
        <w:jc w:val="center"/>
        <w:rPr>
          <w:rFonts w:cs="Arial"/>
          <w:spacing w:val="0"/>
          <w:position w:val="-12"/>
          <w:szCs w:val="24"/>
        </w:rPr>
      </w:pPr>
      <w:r w:rsidRPr="006A39AE">
        <w:rPr>
          <w:rFonts w:cs="Arial"/>
          <w:spacing w:val="12"/>
          <w:position w:val="-12"/>
          <w:szCs w:val="24"/>
        </w:rPr>
        <w:t>California Workers’ Compensation Institute</w:t>
      </w:r>
    </w:p>
    <w:p w:rsidR="00A133CC" w:rsidRPr="005C64CB" w:rsidRDefault="00A133CC" w:rsidP="00A133CC">
      <w:pPr>
        <w:jc w:val="center"/>
        <w:rPr>
          <w:rFonts w:ascii="Arial" w:hAnsi="Arial" w:cs="Arial"/>
          <w:sz w:val="20"/>
        </w:rPr>
      </w:pPr>
      <w:r w:rsidRPr="005C64CB">
        <w:rPr>
          <w:rFonts w:ascii="Arial" w:hAnsi="Arial" w:cs="Arial"/>
          <w:sz w:val="20"/>
        </w:rPr>
        <w:t>1</w:t>
      </w:r>
      <w:r w:rsidR="005C64CB" w:rsidRPr="005C64CB">
        <w:rPr>
          <w:rFonts w:ascii="Arial" w:hAnsi="Arial" w:cs="Arial"/>
          <w:sz w:val="20"/>
        </w:rPr>
        <w:t xml:space="preserve">333 </w:t>
      </w:r>
      <w:r w:rsidRPr="005C64CB">
        <w:rPr>
          <w:rFonts w:ascii="Arial" w:hAnsi="Arial" w:cs="Arial"/>
          <w:sz w:val="20"/>
        </w:rPr>
        <w:t>Broadway</w:t>
      </w:r>
      <w:r w:rsidR="006A39AE" w:rsidRPr="005C64CB">
        <w:rPr>
          <w:rFonts w:ascii="Arial" w:hAnsi="Arial" w:cs="Arial"/>
          <w:sz w:val="20"/>
        </w:rPr>
        <w:t xml:space="preserve">, </w:t>
      </w:r>
      <w:r w:rsidRPr="005C64CB">
        <w:rPr>
          <w:rFonts w:ascii="Arial" w:hAnsi="Arial" w:cs="Arial"/>
          <w:sz w:val="20"/>
        </w:rPr>
        <w:t>Suite 5</w:t>
      </w:r>
      <w:r w:rsidR="005C64CB" w:rsidRPr="005C64CB">
        <w:rPr>
          <w:rFonts w:ascii="Arial" w:hAnsi="Arial" w:cs="Arial"/>
          <w:sz w:val="20"/>
        </w:rPr>
        <w:t>10</w:t>
      </w:r>
      <w:r w:rsidRPr="005C64CB">
        <w:rPr>
          <w:rFonts w:ascii="Arial" w:hAnsi="Arial" w:cs="Arial"/>
          <w:sz w:val="20"/>
        </w:rPr>
        <w:t>, Oakland, CA 946</w:t>
      </w:r>
      <w:r w:rsidR="005C64CB" w:rsidRPr="005C64CB">
        <w:rPr>
          <w:rFonts w:ascii="Arial" w:hAnsi="Arial" w:cs="Arial"/>
          <w:sz w:val="20"/>
        </w:rPr>
        <w:t>12</w:t>
      </w:r>
      <w:r w:rsidRPr="005C64CB">
        <w:rPr>
          <w:rFonts w:ascii="Arial" w:hAnsi="Arial" w:cs="Arial"/>
          <w:sz w:val="20"/>
        </w:rPr>
        <w:t xml:space="preserve"> • Tel: (510) 251-9470 • Fax: (510) 763-1592</w:t>
      </w:r>
    </w:p>
    <w:p w:rsidR="00A133CC" w:rsidRPr="005C64CB" w:rsidRDefault="00A133CC" w:rsidP="00A133CC">
      <w:pPr>
        <w:pStyle w:val="MessageHeader"/>
        <w:spacing w:after="0" w:line="240" w:lineRule="auto"/>
        <w:ind w:left="0" w:firstLine="0"/>
        <w:jc w:val="center"/>
        <w:rPr>
          <w:rFonts w:cs="Arial"/>
          <w:spacing w:val="0"/>
          <w:sz w:val="20"/>
        </w:rPr>
      </w:pPr>
    </w:p>
    <w:p w:rsidR="00A133CC" w:rsidRPr="00DA1D1E" w:rsidRDefault="00A133CC" w:rsidP="00A133CC">
      <w:pPr>
        <w:pStyle w:val="MessageHeader"/>
        <w:spacing w:after="0" w:line="240" w:lineRule="auto"/>
        <w:ind w:left="0" w:firstLine="0"/>
        <w:jc w:val="center"/>
        <w:rPr>
          <w:rFonts w:cs="Arial"/>
          <w:spacing w:val="0"/>
          <w:sz w:val="22"/>
          <w:szCs w:val="22"/>
        </w:rPr>
      </w:pPr>
    </w:p>
    <w:p w:rsidR="00A133CC" w:rsidRPr="00DA1D1E" w:rsidRDefault="00FF2A9C" w:rsidP="00A133CC">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Sept</w:t>
      </w:r>
      <w:r w:rsidR="00A133CC" w:rsidRPr="00DA1D1E">
        <w:rPr>
          <w:rStyle w:val="MessageHeaderLabel"/>
          <w:rFonts w:ascii="Arial" w:hAnsi="Arial" w:cs="Arial"/>
          <w:spacing w:val="0"/>
          <w:sz w:val="22"/>
          <w:szCs w:val="22"/>
        </w:rPr>
        <w:t xml:space="preserve">ember </w:t>
      </w:r>
      <w:r w:rsidR="00AB4B87" w:rsidRPr="00DA1D1E">
        <w:rPr>
          <w:rStyle w:val="MessageHeaderLabel"/>
          <w:rFonts w:ascii="Arial" w:hAnsi="Arial" w:cs="Arial"/>
          <w:spacing w:val="0"/>
          <w:sz w:val="22"/>
          <w:szCs w:val="22"/>
        </w:rPr>
        <w:t>1</w:t>
      </w:r>
      <w:r w:rsidR="00A133CC" w:rsidRPr="00DA1D1E">
        <w:rPr>
          <w:rStyle w:val="MessageHeaderLabel"/>
          <w:rFonts w:ascii="Arial" w:hAnsi="Arial" w:cs="Arial"/>
          <w:spacing w:val="0"/>
          <w:sz w:val="22"/>
          <w:szCs w:val="22"/>
        </w:rPr>
        <w:t>, 201</w:t>
      </w:r>
      <w:r>
        <w:rPr>
          <w:rStyle w:val="MessageHeaderLabel"/>
          <w:rFonts w:ascii="Arial" w:hAnsi="Arial" w:cs="Arial"/>
          <w:spacing w:val="0"/>
          <w:sz w:val="22"/>
          <w:szCs w:val="22"/>
        </w:rPr>
        <w:t>5</w:t>
      </w:r>
    </w:p>
    <w:p w:rsidR="00A133CC" w:rsidRPr="00DA1D1E" w:rsidRDefault="00A133CC" w:rsidP="00A133CC">
      <w:pPr>
        <w:pStyle w:val="MessageHeader"/>
        <w:spacing w:after="0" w:line="240" w:lineRule="auto"/>
        <w:ind w:left="5040" w:firstLine="0"/>
        <w:rPr>
          <w:rStyle w:val="Hyperlink"/>
          <w:rFonts w:cs="Arial"/>
          <w:sz w:val="22"/>
          <w:szCs w:val="22"/>
          <w:lang w:val="en"/>
        </w:rPr>
      </w:pPr>
      <w:r w:rsidRPr="00DA1D1E">
        <w:rPr>
          <w:rStyle w:val="MessageHeaderLabel"/>
          <w:rFonts w:ascii="Arial" w:hAnsi="Arial" w:cs="Arial"/>
          <w:spacing w:val="0"/>
          <w:sz w:val="22"/>
          <w:szCs w:val="22"/>
          <w:u w:val="single"/>
        </w:rPr>
        <w:t xml:space="preserve">VIA E-MAIL to </w:t>
      </w:r>
      <w:hyperlink r:id="rId10" w:history="1">
        <w:r w:rsidRPr="00DA1D1E">
          <w:rPr>
            <w:rStyle w:val="Hyperlink"/>
            <w:rFonts w:cs="Arial"/>
            <w:sz w:val="22"/>
            <w:szCs w:val="22"/>
            <w:lang w:val="en"/>
          </w:rPr>
          <w:t>dwcrules@dir.ca.gov</w:t>
        </w:r>
      </w:hyperlink>
    </w:p>
    <w:p w:rsidR="00A133CC" w:rsidRPr="00DA1D1E" w:rsidRDefault="00A133CC" w:rsidP="00A133CC">
      <w:pPr>
        <w:pStyle w:val="MessageHeader"/>
        <w:spacing w:after="0" w:line="240" w:lineRule="auto"/>
        <w:ind w:left="5040" w:firstLine="0"/>
        <w:rPr>
          <w:rStyle w:val="MessageHeaderLabel"/>
          <w:rFonts w:ascii="Arial" w:hAnsi="Arial" w:cs="Arial"/>
          <w:spacing w:val="0"/>
          <w:sz w:val="22"/>
          <w:szCs w:val="22"/>
        </w:rPr>
      </w:pPr>
    </w:p>
    <w:p w:rsidR="00A133CC" w:rsidRPr="00DA1D1E" w:rsidRDefault="00A133CC" w:rsidP="00A133CC">
      <w:pPr>
        <w:pStyle w:val="MessageHeader"/>
        <w:spacing w:after="0" w:line="240" w:lineRule="auto"/>
        <w:rPr>
          <w:rStyle w:val="MessageHeaderLabel"/>
          <w:rFonts w:ascii="Arial" w:hAnsi="Arial" w:cs="Arial"/>
          <w:spacing w:val="0"/>
          <w:sz w:val="22"/>
          <w:szCs w:val="22"/>
        </w:rPr>
      </w:pP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Maureen Gray, Regulations Coordinator</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Department of Industrial Relations</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Division of Workers’ Compensation, Legal Unit</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 xml:space="preserve">Post Office Box 420603 </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San Francisco, CA  94</w:t>
      </w:r>
      <w:r w:rsidR="004B3CAC">
        <w:rPr>
          <w:rStyle w:val="MessageHeaderLabel"/>
          <w:rFonts w:ascii="Arial" w:hAnsi="Arial" w:cs="Arial"/>
          <w:spacing w:val="0"/>
          <w:sz w:val="22"/>
          <w:szCs w:val="22"/>
        </w:rPr>
        <w:t>142</w:t>
      </w:r>
    </w:p>
    <w:p w:rsidR="00A133CC" w:rsidRPr="00DA1D1E" w:rsidRDefault="00A133CC" w:rsidP="00A133CC">
      <w:pPr>
        <w:pStyle w:val="MessageHeader"/>
        <w:spacing w:after="0" w:line="240" w:lineRule="auto"/>
        <w:rPr>
          <w:rStyle w:val="MessageHeaderLabel"/>
          <w:rFonts w:ascii="Arial" w:hAnsi="Arial" w:cs="Arial"/>
          <w:spacing w:val="0"/>
          <w:sz w:val="22"/>
          <w:szCs w:val="22"/>
        </w:rPr>
      </w:pPr>
    </w:p>
    <w:p w:rsidR="00A133CC" w:rsidRPr="00DA1D1E" w:rsidRDefault="00A133CC" w:rsidP="00A133CC">
      <w:pPr>
        <w:pStyle w:val="MessageHeader"/>
        <w:spacing w:after="0" w:line="240" w:lineRule="auto"/>
        <w:rPr>
          <w:rStyle w:val="MessageHeaderLabel"/>
          <w:rFonts w:ascii="Arial" w:hAnsi="Arial" w:cs="Arial"/>
          <w:spacing w:val="0"/>
          <w:sz w:val="22"/>
          <w:szCs w:val="22"/>
        </w:rPr>
      </w:pPr>
    </w:p>
    <w:p w:rsidR="003E19DD" w:rsidRPr="00DA1D1E" w:rsidRDefault="00A133CC" w:rsidP="004B3CAC">
      <w:pPr>
        <w:keepLines/>
        <w:tabs>
          <w:tab w:val="left" w:pos="900"/>
        </w:tabs>
        <w:ind w:left="450" w:hanging="450"/>
        <w:rPr>
          <w:rFonts w:ascii="Arial" w:hAnsi="Arial" w:cs="Arial"/>
          <w:b/>
          <w:sz w:val="22"/>
          <w:szCs w:val="22"/>
        </w:rPr>
      </w:pPr>
      <w:r w:rsidRPr="00DA1D1E">
        <w:rPr>
          <w:rFonts w:ascii="Arial" w:hAnsi="Arial" w:cs="Arial"/>
          <w:b/>
          <w:sz w:val="22"/>
          <w:szCs w:val="22"/>
        </w:rPr>
        <w:t xml:space="preserve">RE:  </w:t>
      </w:r>
      <w:r w:rsidR="00FF2A9C">
        <w:rPr>
          <w:rFonts w:ascii="Arial" w:hAnsi="Arial" w:cs="Arial"/>
          <w:b/>
          <w:sz w:val="22"/>
          <w:szCs w:val="22"/>
        </w:rPr>
        <w:t>Written Testimony</w:t>
      </w:r>
      <w:r w:rsidR="003E19DD" w:rsidRPr="00DA1D1E">
        <w:rPr>
          <w:rFonts w:ascii="Arial" w:hAnsi="Arial" w:cs="Arial"/>
          <w:b/>
          <w:sz w:val="22"/>
          <w:szCs w:val="22"/>
        </w:rPr>
        <w:t xml:space="preserve"> </w:t>
      </w:r>
      <w:r w:rsidR="005F6E39">
        <w:rPr>
          <w:rFonts w:ascii="Arial" w:hAnsi="Arial" w:cs="Arial"/>
          <w:b/>
          <w:sz w:val="22"/>
          <w:szCs w:val="22"/>
        </w:rPr>
        <w:t>–</w:t>
      </w:r>
      <w:r w:rsidR="003E19DD" w:rsidRPr="00DA1D1E">
        <w:rPr>
          <w:rFonts w:ascii="Arial" w:hAnsi="Arial" w:cs="Arial"/>
          <w:b/>
          <w:sz w:val="22"/>
          <w:szCs w:val="22"/>
        </w:rPr>
        <w:t xml:space="preserve"> </w:t>
      </w:r>
      <w:r w:rsidRPr="00DA1D1E">
        <w:rPr>
          <w:rFonts w:ascii="Arial" w:hAnsi="Arial" w:cs="Arial"/>
          <w:b/>
          <w:sz w:val="22"/>
          <w:szCs w:val="22"/>
        </w:rPr>
        <w:t>MTUS</w:t>
      </w:r>
      <w:r w:rsidR="005F6E39">
        <w:rPr>
          <w:rFonts w:ascii="Arial" w:hAnsi="Arial" w:cs="Arial"/>
          <w:b/>
          <w:sz w:val="22"/>
          <w:szCs w:val="22"/>
        </w:rPr>
        <w:t xml:space="preserve"> Guidelines on Chronic Pain Treatment and on Opioids Treatment</w:t>
      </w:r>
      <w:r w:rsidR="00BF2FED">
        <w:rPr>
          <w:rFonts w:ascii="Arial" w:hAnsi="Arial" w:cs="Arial"/>
          <w:b/>
          <w:sz w:val="22"/>
          <w:szCs w:val="22"/>
        </w:rPr>
        <w:t xml:space="preserve"> –</w:t>
      </w:r>
      <w:r w:rsidR="00BF2FED" w:rsidRPr="00DA1D1E">
        <w:rPr>
          <w:rFonts w:ascii="Arial" w:hAnsi="Arial" w:cs="Arial"/>
          <w:b/>
          <w:sz w:val="22"/>
          <w:szCs w:val="22"/>
        </w:rPr>
        <w:t xml:space="preserve"> </w:t>
      </w:r>
      <w:r w:rsidR="003E19DD" w:rsidRPr="00DA1D1E">
        <w:rPr>
          <w:rFonts w:ascii="Arial" w:hAnsi="Arial" w:cs="Arial"/>
          <w:b/>
          <w:sz w:val="22"/>
          <w:szCs w:val="22"/>
        </w:rPr>
        <w:t>Section</w:t>
      </w:r>
      <w:r w:rsidR="005F6E39">
        <w:rPr>
          <w:rFonts w:ascii="Arial" w:hAnsi="Arial" w:cs="Arial"/>
          <w:b/>
          <w:sz w:val="22"/>
          <w:szCs w:val="22"/>
        </w:rPr>
        <w:t>s</w:t>
      </w:r>
      <w:r w:rsidR="003E19DD" w:rsidRPr="00DA1D1E">
        <w:rPr>
          <w:rFonts w:ascii="Arial" w:hAnsi="Arial" w:cs="Arial"/>
          <w:b/>
          <w:sz w:val="22"/>
          <w:szCs w:val="22"/>
        </w:rPr>
        <w:t xml:space="preserve"> 9792.24.2 </w:t>
      </w:r>
      <w:r w:rsidR="00BF2FED">
        <w:rPr>
          <w:rFonts w:ascii="Arial" w:hAnsi="Arial" w:cs="Arial"/>
          <w:b/>
          <w:sz w:val="22"/>
          <w:szCs w:val="22"/>
        </w:rPr>
        <w:t>and 9792.24.4</w:t>
      </w:r>
    </w:p>
    <w:p w:rsidR="00A133CC" w:rsidRPr="00DA1D1E" w:rsidRDefault="00A133CC" w:rsidP="00A133CC">
      <w:pPr>
        <w:pStyle w:val="MessageHeader"/>
        <w:spacing w:after="0" w:line="240" w:lineRule="auto"/>
        <w:ind w:right="-270"/>
        <w:rPr>
          <w:rStyle w:val="MessageHeaderLabel"/>
          <w:rFonts w:ascii="Arial" w:hAnsi="Arial" w:cs="Arial"/>
          <w:b/>
          <w:spacing w:val="0"/>
          <w:sz w:val="22"/>
          <w:szCs w:val="22"/>
        </w:rPr>
      </w:pPr>
      <w:r w:rsidRPr="00DA1D1E">
        <w:rPr>
          <w:rStyle w:val="MessageHeaderLabel"/>
          <w:rFonts w:ascii="Arial" w:hAnsi="Arial" w:cs="Arial"/>
          <w:b/>
          <w:spacing w:val="0"/>
          <w:sz w:val="22"/>
          <w:szCs w:val="22"/>
        </w:rPr>
        <w:t xml:space="preserve"> </w:t>
      </w:r>
    </w:p>
    <w:p w:rsidR="00A133CC" w:rsidRPr="00DA1D1E" w:rsidRDefault="00A133CC" w:rsidP="00A133CC">
      <w:pPr>
        <w:rPr>
          <w:rFonts w:ascii="Arial" w:hAnsi="Arial" w:cs="Arial"/>
          <w:color w:val="auto"/>
          <w:sz w:val="22"/>
          <w:szCs w:val="22"/>
          <w:lang w:val="en"/>
        </w:rPr>
      </w:pPr>
    </w:p>
    <w:p w:rsidR="00A133CC" w:rsidRPr="00DA1D1E" w:rsidRDefault="00A133CC" w:rsidP="00A133CC">
      <w:pPr>
        <w:rPr>
          <w:rFonts w:ascii="Arial" w:hAnsi="Arial" w:cs="Arial"/>
          <w:color w:val="auto"/>
          <w:sz w:val="22"/>
          <w:szCs w:val="22"/>
          <w:lang w:val="en"/>
        </w:rPr>
      </w:pPr>
      <w:r w:rsidRPr="00DA1D1E">
        <w:rPr>
          <w:rFonts w:ascii="Arial" w:hAnsi="Arial" w:cs="Arial"/>
          <w:color w:val="auto"/>
          <w:sz w:val="22"/>
          <w:szCs w:val="22"/>
          <w:lang w:val="en"/>
        </w:rPr>
        <w:t>Dear Ms. Gray:</w:t>
      </w:r>
    </w:p>
    <w:p w:rsidR="00A133CC" w:rsidRPr="00DA1D1E" w:rsidRDefault="00A133CC" w:rsidP="00A133CC">
      <w:pPr>
        <w:rPr>
          <w:rFonts w:ascii="Arial" w:hAnsi="Arial" w:cs="Arial"/>
          <w:color w:val="auto"/>
          <w:sz w:val="22"/>
          <w:szCs w:val="22"/>
          <w:lang w:val="en"/>
        </w:rPr>
      </w:pPr>
    </w:p>
    <w:p w:rsidR="00A133CC" w:rsidRPr="00DA1D1E" w:rsidRDefault="00A133CC" w:rsidP="00A133CC">
      <w:pPr>
        <w:keepLines/>
        <w:tabs>
          <w:tab w:val="left" w:pos="900"/>
        </w:tabs>
        <w:rPr>
          <w:rFonts w:ascii="Arial" w:hAnsi="Arial" w:cs="Arial"/>
          <w:sz w:val="22"/>
          <w:szCs w:val="22"/>
        </w:rPr>
      </w:pPr>
      <w:r w:rsidRPr="00DA1D1E">
        <w:rPr>
          <w:rFonts w:ascii="Arial" w:hAnsi="Arial" w:cs="Arial"/>
          <w:sz w:val="22"/>
          <w:szCs w:val="22"/>
        </w:rPr>
        <w:t>Th</w:t>
      </w:r>
      <w:r w:rsidR="003B0ADF">
        <w:rPr>
          <w:rFonts w:ascii="Arial" w:hAnsi="Arial" w:cs="Arial"/>
          <w:sz w:val="22"/>
          <w:szCs w:val="22"/>
        </w:rPr>
        <w:t>is written testimony</w:t>
      </w:r>
      <w:r w:rsidRPr="00DA1D1E">
        <w:rPr>
          <w:rFonts w:ascii="Arial" w:hAnsi="Arial" w:cs="Arial"/>
          <w:sz w:val="22"/>
          <w:szCs w:val="22"/>
        </w:rPr>
        <w:t xml:space="preserve"> on </w:t>
      </w:r>
      <w:r w:rsidR="00A20D7D">
        <w:rPr>
          <w:rFonts w:ascii="Arial" w:hAnsi="Arial" w:cs="Arial"/>
          <w:sz w:val="22"/>
          <w:szCs w:val="22"/>
        </w:rPr>
        <w:t>proposed</w:t>
      </w:r>
      <w:r w:rsidR="003E19DD" w:rsidRPr="00DA1D1E">
        <w:rPr>
          <w:rFonts w:ascii="Arial" w:hAnsi="Arial" w:cs="Arial"/>
          <w:sz w:val="22"/>
          <w:szCs w:val="22"/>
        </w:rPr>
        <w:t xml:space="preserve"> </w:t>
      </w:r>
      <w:r w:rsidR="005750FD">
        <w:rPr>
          <w:rFonts w:ascii="Arial" w:hAnsi="Arial" w:cs="Arial"/>
          <w:sz w:val="22"/>
          <w:szCs w:val="22"/>
        </w:rPr>
        <w:t xml:space="preserve">regulations concerning </w:t>
      </w:r>
      <w:r w:rsidR="005750FD" w:rsidRPr="00DA1D1E">
        <w:rPr>
          <w:rFonts w:ascii="Arial" w:hAnsi="Arial" w:cs="Arial"/>
          <w:sz w:val="22"/>
          <w:szCs w:val="22"/>
        </w:rPr>
        <w:t xml:space="preserve">Guidelines </w:t>
      </w:r>
      <w:r w:rsidR="00707B69">
        <w:rPr>
          <w:rFonts w:ascii="Arial" w:hAnsi="Arial" w:cs="Arial"/>
          <w:sz w:val="22"/>
          <w:szCs w:val="22"/>
        </w:rPr>
        <w:t xml:space="preserve">on </w:t>
      </w:r>
      <w:r w:rsidR="003E19DD" w:rsidRPr="00DA1D1E">
        <w:rPr>
          <w:rFonts w:ascii="Arial" w:hAnsi="Arial" w:cs="Arial"/>
          <w:sz w:val="22"/>
          <w:szCs w:val="22"/>
        </w:rPr>
        <w:t xml:space="preserve">Chronic Pain Treatment </w:t>
      </w:r>
      <w:r w:rsidR="00707B69">
        <w:rPr>
          <w:rFonts w:ascii="Arial" w:hAnsi="Arial" w:cs="Arial"/>
          <w:sz w:val="22"/>
          <w:szCs w:val="22"/>
        </w:rPr>
        <w:t xml:space="preserve">and on Opioids Treatment </w:t>
      </w:r>
      <w:r w:rsidR="00A20D7D">
        <w:rPr>
          <w:rFonts w:ascii="Arial" w:hAnsi="Arial" w:cs="Arial"/>
          <w:sz w:val="22"/>
          <w:szCs w:val="22"/>
        </w:rPr>
        <w:t>is</w:t>
      </w:r>
      <w:r w:rsidRPr="00DA1D1E">
        <w:rPr>
          <w:rFonts w:ascii="Arial" w:hAnsi="Arial" w:cs="Arial"/>
          <w:sz w:val="22"/>
          <w:szCs w:val="22"/>
        </w:rPr>
        <w:t xml:space="preserve"> presented on behalf of members of the California Workers' Compensation Institute (the Institute).  Institute members include insurers writing 71% of California’s workers’ compensation premium, and self-insured employers with $46B of annual payroll (26% of the state’s total annual self-insured payroll).  </w:t>
      </w:r>
    </w:p>
    <w:p w:rsidR="00A133CC" w:rsidRPr="00DA1D1E" w:rsidRDefault="00A133CC" w:rsidP="00A133CC">
      <w:pPr>
        <w:keepLines/>
        <w:tabs>
          <w:tab w:val="left" w:pos="900"/>
        </w:tabs>
        <w:rPr>
          <w:rFonts w:ascii="Arial" w:hAnsi="Arial" w:cs="Arial"/>
          <w:sz w:val="22"/>
          <w:szCs w:val="22"/>
        </w:rPr>
      </w:pPr>
    </w:p>
    <w:p w:rsidR="003B0ADF" w:rsidRPr="003B0ADF" w:rsidRDefault="003B0ADF" w:rsidP="003B0ADF">
      <w:pPr>
        <w:keepLines/>
        <w:tabs>
          <w:tab w:val="left" w:pos="900"/>
        </w:tabs>
        <w:rPr>
          <w:rFonts w:ascii="Arial" w:hAnsi="Arial" w:cs="Arial"/>
          <w:sz w:val="22"/>
          <w:szCs w:val="22"/>
        </w:rPr>
      </w:pPr>
      <w:r w:rsidRPr="003B0ADF">
        <w:rPr>
          <w:rFonts w:ascii="Arial" w:hAnsi="Arial" w:cs="Arial"/>
          <w:sz w:val="22"/>
          <w:szCs w:val="22"/>
        </w:rPr>
        <w:t xml:space="preserve">Insurer members of the Institute include ACE, AIG, Alaska National Insurance Company,  Allianz/Fireman’s Fund Insurance Company, </w:t>
      </w:r>
      <w:proofErr w:type="spellStart"/>
      <w:r w:rsidRPr="003B0ADF">
        <w:rPr>
          <w:rFonts w:ascii="Arial" w:hAnsi="Arial" w:cs="Arial"/>
          <w:sz w:val="22"/>
          <w:szCs w:val="22"/>
        </w:rPr>
        <w:t>AmTrust</w:t>
      </w:r>
      <w:proofErr w:type="spellEnd"/>
      <w:r w:rsidRPr="003B0ADF">
        <w:rPr>
          <w:rFonts w:ascii="Arial" w:hAnsi="Arial" w:cs="Arial"/>
          <w:sz w:val="22"/>
          <w:szCs w:val="22"/>
        </w:rPr>
        <w:t xml:space="preserve"> North America, Chubb Group, CNA, </w:t>
      </w:r>
      <w:proofErr w:type="spellStart"/>
      <w:r w:rsidRPr="003B0ADF">
        <w:rPr>
          <w:rFonts w:ascii="Arial" w:hAnsi="Arial" w:cs="Arial"/>
          <w:sz w:val="22"/>
          <w:szCs w:val="22"/>
        </w:rPr>
        <w:t>CompWest</w:t>
      </w:r>
      <w:proofErr w:type="spellEnd"/>
      <w:r w:rsidRPr="003B0ADF">
        <w:rPr>
          <w:rFonts w:ascii="Arial" w:hAnsi="Arial" w:cs="Arial"/>
          <w:sz w:val="22"/>
          <w:szCs w:val="22"/>
        </w:rPr>
        <w:t xml:space="preserve"> Insurance Company, Crum &amp; Forster, Employers, Everest National Insurance Company, The Hartford, ICW Group, Liberty Mutual Insurance, Pacific Compensation Insurance Company, Preferred Employers Group, Republic Indemnity Company of America, Sentry Insurance, State Compensation Insurance Fund, State Farm Insurance Companies, Travelers, XL America, Zenith Insurance Company, and Zurich North America.</w:t>
      </w:r>
    </w:p>
    <w:p w:rsidR="003B0ADF" w:rsidRPr="003B0ADF" w:rsidRDefault="003B0ADF" w:rsidP="003B0ADF">
      <w:pPr>
        <w:keepLines/>
        <w:tabs>
          <w:tab w:val="left" w:pos="900"/>
        </w:tabs>
        <w:rPr>
          <w:rFonts w:ascii="Arial" w:hAnsi="Arial" w:cs="Arial"/>
          <w:sz w:val="22"/>
          <w:szCs w:val="22"/>
        </w:rPr>
      </w:pPr>
    </w:p>
    <w:p w:rsidR="003B0ADF" w:rsidRDefault="003B0ADF" w:rsidP="003B0ADF">
      <w:pPr>
        <w:keepLines/>
        <w:tabs>
          <w:tab w:val="left" w:pos="900"/>
        </w:tabs>
        <w:rPr>
          <w:rFonts w:ascii="Arial" w:hAnsi="Arial" w:cs="Arial"/>
          <w:sz w:val="22"/>
          <w:szCs w:val="22"/>
        </w:rPr>
      </w:pPr>
      <w:r w:rsidRPr="003B0ADF">
        <w:rPr>
          <w:rFonts w:ascii="Arial" w:hAnsi="Arial" w:cs="Arial"/>
          <w:sz w:val="22"/>
          <w:szCs w:val="22"/>
        </w:rPr>
        <w:t xml:space="preserve">Self-insured employer members include Adventist Health, California State University Risk Management Authority, Chevron Corporation, City and County of San Francisco, City of Santa Ana, City of Torrance, Contra Costa County Schools Insurance Group, Costco Wholesale, County of Alameda, 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Special District Risk Management Authority, Sutter Health, University of California, and The Walt Disney Company. </w:t>
      </w:r>
    </w:p>
    <w:p w:rsidR="003B0ADF" w:rsidRPr="003B0ADF" w:rsidRDefault="003B0ADF" w:rsidP="003B0ADF">
      <w:pPr>
        <w:keepLines/>
        <w:tabs>
          <w:tab w:val="left" w:pos="900"/>
        </w:tabs>
        <w:rPr>
          <w:rFonts w:ascii="Arial" w:hAnsi="Arial" w:cs="Arial"/>
          <w:sz w:val="22"/>
          <w:szCs w:val="22"/>
        </w:rPr>
      </w:pPr>
    </w:p>
    <w:p w:rsidR="003B0ADF" w:rsidRDefault="003B0ADF" w:rsidP="003B0ADF">
      <w:pPr>
        <w:rPr>
          <w:rFonts w:ascii="Arial" w:hAnsi="Arial" w:cs="Arial"/>
          <w:b/>
          <w:color w:val="auto"/>
          <w:sz w:val="22"/>
          <w:szCs w:val="22"/>
        </w:rPr>
      </w:pPr>
    </w:p>
    <w:p w:rsidR="00730E59" w:rsidRDefault="00730E59" w:rsidP="003B0ADF">
      <w:pPr>
        <w:rPr>
          <w:rFonts w:ascii="Arial" w:hAnsi="Arial" w:cs="Arial"/>
          <w:b/>
          <w:color w:val="auto"/>
          <w:sz w:val="22"/>
          <w:szCs w:val="22"/>
        </w:rPr>
      </w:pPr>
    </w:p>
    <w:p w:rsidR="00730E59" w:rsidRDefault="00730E59" w:rsidP="003B0ADF">
      <w:pPr>
        <w:rPr>
          <w:rFonts w:ascii="Arial" w:hAnsi="Arial" w:cs="Arial"/>
          <w:b/>
          <w:color w:val="auto"/>
          <w:sz w:val="22"/>
          <w:szCs w:val="22"/>
        </w:rPr>
      </w:pPr>
    </w:p>
    <w:p w:rsidR="004B3CAC" w:rsidRDefault="004B3CAC" w:rsidP="003B0ADF">
      <w:pPr>
        <w:rPr>
          <w:rFonts w:ascii="Arial" w:hAnsi="Arial" w:cs="Arial"/>
          <w:b/>
          <w:color w:val="auto"/>
          <w:sz w:val="22"/>
          <w:szCs w:val="22"/>
        </w:rPr>
      </w:pPr>
    </w:p>
    <w:p w:rsidR="00B34544" w:rsidRDefault="00B34544" w:rsidP="003B0ADF">
      <w:pPr>
        <w:rPr>
          <w:rFonts w:ascii="Arial" w:hAnsi="Arial" w:cs="Arial"/>
          <w:b/>
          <w:color w:val="auto"/>
          <w:sz w:val="22"/>
          <w:szCs w:val="22"/>
        </w:rPr>
      </w:pPr>
    </w:p>
    <w:p w:rsidR="00B34544" w:rsidRDefault="00B34544" w:rsidP="003B0ADF">
      <w:pPr>
        <w:rPr>
          <w:rFonts w:ascii="Arial" w:hAnsi="Arial" w:cs="Arial"/>
          <w:b/>
          <w:color w:val="auto"/>
          <w:sz w:val="22"/>
          <w:szCs w:val="22"/>
        </w:rPr>
      </w:pPr>
    </w:p>
    <w:p w:rsidR="00AB4B87" w:rsidRPr="00300EA7" w:rsidRDefault="00300EA7" w:rsidP="0007766B">
      <w:pPr>
        <w:keepLines/>
        <w:tabs>
          <w:tab w:val="left" w:pos="900"/>
        </w:tabs>
        <w:rPr>
          <w:rFonts w:ascii="Arial" w:hAnsi="Arial" w:cs="Arial"/>
          <w:b/>
          <w:sz w:val="22"/>
          <w:szCs w:val="22"/>
        </w:rPr>
      </w:pPr>
      <w:r w:rsidRPr="00300EA7">
        <w:rPr>
          <w:rFonts w:ascii="Arial" w:hAnsi="Arial" w:cs="Arial"/>
          <w:b/>
          <w:sz w:val="22"/>
          <w:szCs w:val="22"/>
        </w:rPr>
        <w:lastRenderedPageBreak/>
        <w:t>Introduction</w:t>
      </w:r>
    </w:p>
    <w:p w:rsidR="00F26001" w:rsidRPr="00300EA7" w:rsidRDefault="00AA55E5" w:rsidP="00661214">
      <w:pPr>
        <w:pStyle w:val="MessageHeader"/>
        <w:tabs>
          <w:tab w:val="left" w:pos="900"/>
        </w:tabs>
        <w:spacing w:after="0" w:line="240" w:lineRule="auto"/>
        <w:ind w:left="0" w:firstLine="0"/>
        <w:rPr>
          <w:rFonts w:cs="Arial"/>
          <w:sz w:val="22"/>
          <w:szCs w:val="22"/>
        </w:rPr>
      </w:pPr>
      <w:r w:rsidRPr="00300EA7">
        <w:rPr>
          <w:rFonts w:cs="Arial"/>
          <w:sz w:val="22"/>
          <w:szCs w:val="22"/>
        </w:rPr>
        <w:t xml:space="preserve">Labor Code </w:t>
      </w:r>
      <w:r w:rsidR="00BD046F" w:rsidRPr="00300EA7">
        <w:rPr>
          <w:rFonts w:cs="Arial"/>
          <w:sz w:val="22"/>
          <w:szCs w:val="22"/>
        </w:rPr>
        <w:t xml:space="preserve">section 4600(a) requires employers to provide </w:t>
      </w:r>
      <w:r w:rsidR="001959B7" w:rsidRPr="00300EA7">
        <w:rPr>
          <w:rFonts w:cs="Arial"/>
          <w:sz w:val="22"/>
          <w:szCs w:val="22"/>
        </w:rPr>
        <w:t>medical treatment that is reasonably required to cure or relieve injured employees from the effects of</w:t>
      </w:r>
      <w:r w:rsidR="00DA4C9D" w:rsidRPr="00300EA7">
        <w:rPr>
          <w:rFonts w:cs="Arial"/>
          <w:sz w:val="22"/>
          <w:szCs w:val="22"/>
        </w:rPr>
        <w:t xml:space="preserve"> their injuries.  </w:t>
      </w:r>
      <w:r w:rsidR="001959B7" w:rsidRPr="00300EA7">
        <w:rPr>
          <w:rFonts w:cs="Arial"/>
          <w:sz w:val="22"/>
          <w:szCs w:val="22"/>
        </w:rPr>
        <w:t xml:space="preserve"> </w:t>
      </w:r>
      <w:r w:rsidR="00DA4C9D" w:rsidRPr="00300EA7">
        <w:rPr>
          <w:rFonts w:cs="Arial"/>
          <w:sz w:val="22"/>
          <w:szCs w:val="22"/>
        </w:rPr>
        <w:t>Labor Code section 4600(b) provides that medical treatment that is reasonably required to cure or relieve injured employees from the effects of their injuries means treatment that is based on the guidelines in the Medical Treatment Utilization Schedule (MTUS)</w:t>
      </w:r>
      <w:r w:rsidR="00BE7000" w:rsidRPr="00300EA7">
        <w:rPr>
          <w:rFonts w:cs="Arial"/>
          <w:sz w:val="22"/>
          <w:szCs w:val="22"/>
        </w:rPr>
        <w:t xml:space="preserve">.  </w:t>
      </w:r>
      <w:r w:rsidR="0046475D">
        <w:rPr>
          <w:rFonts w:cs="Arial"/>
          <w:sz w:val="22"/>
          <w:szCs w:val="22"/>
        </w:rPr>
        <w:t>Labor Code section 4604.5 requires the recommended guidelines in the MTUS to reflect practices that are evidence and scientifically based, nationally recognized, and peer reviewed</w:t>
      </w:r>
      <w:r w:rsidR="00270EE2">
        <w:rPr>
          <w:rFonts w:cs="Arial"/>
          <w:sz w:val="22"/>
          <w:szCs w:val="22"/>
        </w:rPr>
        <w:t xml:space="preserve">; and </w:t>
      </w:r>
      <w:r w:rsidR="00BE7000" w:rsidRPr="00300EA7">
        <w:rPr>
          <w:rFonts w:cs="Arial"/>
          <w:sz w:val="22"/>
          <w:szCs w:val="22"/>
        </w:rPr>
        <w:t>5307.27 requires</w:t>
      </w:r>
      <w:r w:rsidR="003D5742" w:rsidRPr="00300EA7">
        <w:rPr>
          <w:rFonts w:cs="Arial"/>
          <w:sz w:val="22"/>
          <w:szCs w:val="22"/>
        </w:rPr>
        <w:t xml:space="preserve"> the MTUS to address, at a minimum, the frequency, duration, intensity, and appropriateness of all treatment procedures and modalities commonly performed in workers’ compensation cases.  </w:t>
      </w:r>
      <w:r w:rsidR="00895BAE" w:rsidRPr="00300EA7">
        <w:rPr>
          <w:rFonts w:cs="Arial"/>
          <w:sz w:val="22"/>
          <w:szCs w:val="22"/>
        </w:rPr>
        <w:t>To meet th</w:t>
      </w:r>
      <w:r w:rsidR="00F26001" w:rsidRPr="00300EA7">
        <w:rPr>
          <w:rFonts w:cs="Arial"/>
          <w:sz w:val="22"/>
          <w:szCs w:val="22"/>
        </w:rPr>
        <w:t>ose</w:t>
      </w:r>
      <w:r w:rsidR="00895BAE" w:rsidRPr="00300EA7">
        <w:rPr>
          <w:rFonts w:cs="Arial"/>
          <w:sz w:val="22"/>
          <w:szCs w:val="22"/>
        </w:rPr>
        <w:t xml:space="preserve"> standards and to be effective, the Medical Treatment Utilization Schedule must provide evidence-based treatment guidelines with clear recommendations (e.g., recommended, not recommended, no recommendation) developed according to a single set of the highest quality standards and criteria.  </w:t>
      </w:r>
    </w:p>
    <w:p w:rsidR="00F26001" w:rsidRPr="00300EA7" w:rsidRDefault="00F26001" w:rsidP="00661214">
      <w:pPr>
        <w:pStyle w:val="MessageHeader"/>
        <w:tabs>
          <w:tab w:val="left" w:pos="900"/>
        </w:tabs>
        <w:spacing w:after="0" w:line="240" w:lineRule="auto"/>
        <w:ind w:left="0" w:firstLine="0"/>
        <w:rPr>
          <w:rFonts w:cs="Arial"/>
          <w:sz w:val="22"/>
          <w:szCs w:val="22"/>
        </w:rPr>
      </w:pPr>
    </w:p>
    <w:p w:rsidR="00B36CF6" w:rsidRPr="00300EA7" w:rsidRDefault="00B36CF6" w:rsidP="00661214">
      <w:pPr>
        <w:pStyle w:val="MessageHeader"/>
        <w:tabs>
          <w:tab w:val="left" w:pos="900"/>
        </w:tabs>
        <w:spacing w:after="0" w:line="240" w:lineRule="auto"/>
        <w:ind w:left="0" w:firstLine="0"/>
        <w:rPr>
          <w:rFonts w:cs="Arial"/>
          <w:sz w:val="22"/>
          <w:szCs w:val="22"/>
        </w:rPr>
      </w:pPr>
      <w:r w:rsidRPr="00300EA7">
        <w:rPr>
          <w:rFonts w:cs="Arial"/>
          <w:sz w:val="22"/>
          <w:szCs w:val="22"/>
        </w:rPr>
        <w:t xml:space="preserve">When promulgating the use </w:t>
      </w:r>
      <w:r w:rsidR="001445D9" w:rsidRPr="00300EA7">
        <w:rPr>
          <w:rFonts w:cs="Arial"/>
          <w:sz w:val="22"/>
          <w:szCs w:val="22"/>
        </w:rPr>
        <w:t>of treatment</w:t>
      </w:r>
      <w:r w:rsidR="000036FD" w:rsidRPr="00300EA7">
        <w:rPr>
          <w:rFonts w:cs="Arial"/>
          <w:sz w:val="22"/>
          <w:szCs w:val="22"/>
        </w:rPr>
        <w:t xml:space="preserve"> guidelines</w:t>
      </w:r>
      <w:r w:rsidRPr="00300EA7">
        <w:rPr>
          <w:rFonts w:cs="Arial"/>
          <w:sz w:val="22"/>
          <w:szCs w:val="22"/>
        </w:rPr>
        <w:t xml:space="preserve"> one must keep in mind that the guidelines</w:t>
      </w:r>
      <w:r w:rsidR="000036FD" w:rsidRPr="00300EA7">
        <w:rPr>
          <w:rFonts w:cs="Arial"/>
          <w:sz w:val="22"/>
          <w:szCs w:val="22"/>
        </w:rPr>
        <w:t xml:space="preserve"> are not used exclusively by treating physicians. </w:t>
      </w:r>
      <w:r w:rsidR="006F0DE0" w:rsidRPr="00300EA7">
        <w:rPr>
          <w:rFonts w:cs="Arial"/>
          <w:sz w:val="22"/>
          <w:szCs w:val="22"/>
        </w:rPr>
        <w:t xml:space="preserve"> </w:t>
      </w:r>
      <w:r w:rsidR="000036FD" w:rsidRPr="00300EA7">
        <w:rPr>
          <w:rFonts w:cs="Arial"/>
          <w:sz w:val="22"/>
          <w:szCs w:val="22"/>
        </w:rPr>
        <w:t xml:space="preserve">Rather, the Legislature requires that the guidelines be used by injured </w:t>
      </w:r>
      <w:r w:rsidR="00661214" w:rsidRPr="00300EA7">
        <w:rPr>
          <w:rFonts w:cs="Arial"/>
          <w:sz w:val="22"/>
          <w:szCs w:val="22"/>
        </w:rPr>
        <w:t>employee</w:t>
      </w:r>
      <w:r w:rsidR="000036FD" w:rsidRPr="00300EA7">
        <w:rPr>
          <w:rFonts w:cs="Arial"/>
          <w:sz w:val="22"/>
          <w:szCs w:val="22"/>
        </w:rPr>
        <w:t xml:space="preserve">s and their physicians, claims </w:t>
      </w:r>
      <w:r w:rsidR="00DA1D1E" w:rsidRPr="00300EA7">
        <w:rPr>
          <w:rFonts w:cs="Arial"/>
          <w:sz w:val="22"/>
          <w:szCs w:val="22"/>
        </w:rPr>
        <w:t>examiners</w:t>
      </w:r>
      <w:r w:rsidR="000036FD" w:rsidRPr="00300EA7">
        <w:rPr>
          <w:rFonts w:cs="Arial"/>
          <w:sz w:val="22"/>
          <w:szCs w:val="22"/>
        </w:rPr>
        <w:t>, utilization review physicians, IMR, employers, applicants’ attorneys, defense attorneys, judges a</w:t>
      </w:r>
      <w:r w:rsidR="004D6EDD" w:rsidRPr="00300EA7">
        <w:rPr>
          <w:rFonts w:cs="Arial"/>
          <w:sz w:val="22"/>
          <w:szCs w:val="22"/>
        </w:rPr>
        <w:t>t</w:t>
      </w:r>
      <w:r w:rsidR="000036FD" w:rsidRPr="00300EA7">
        <w:rPr>
          <w:rFonts w:cs="Arial"/>
          <w:sz w:val="22"/>
          <w:szCs w:val="22"/>
        </w:rPr>
        <w:t xml:space="preserve"> the WCAB and the reviewing courts.  Therefore, the workers</w:t>
      </w:r>
      <w:r w:rsidR="006A39AE" w:rsidRPr="00300EA7">
        <w:rPr>
          <w:rFonts w:cs="Arial"/>
          <w:sz w:val="22"/>
          <w:szCs w:val="22"/>
        </w:rPr>
        <w:t>’</w:t>
      </w:r>
      <w:r w:rsidR="000036FD" w:rsidRPr="00300EA7">
        <w:rPr>
          <w:rFonts w:cs="Arial"/>
          <w:sz w:val="22"/>
          <w:szCs w:val="22"/>
        </w:rPr>
        <w:t xml:space="preserve"> compensation community must have treatment guidelines that are as straightforward </w:t>
      </w:r>
      <w:r w:rsidR="00300EA7" w:rsidRPr="00300EA7">
        <w:rPr>
          <w:rFonts w:cs="Arial"/>
          <w:sz w:val="22"/>
          <w:szCs w:val="22"/>
        </w:rPr>
        <w:t xml:space="preserve">and clear </w:t>
      </w:r>
      <w:r w:rsidR="000036FD" w:rsidRPr="00300EA7">
        <w:rPr>
          <w:rFonts w:cs="Arial"/>
          <w:sz w:val="22"/>
          <w:szCs w:val="22"/>
        </w:rPr>
        <w:t xml:space="preserve">as modern medical science can make them.  </w:t>
      </w:r>
    </w:p>
    <w:p w:rsidR="00B36CF6" w:rsidRPr="00300EA7" w:rsidRDefault="00B36CF6" w:rsidP="000036FD">
      <w:pPr>
        <w:keepLines/>
        <w:tabs>
          <w:tab w:val="left" w:pos="900"/>
        </w:tabs>
        <w:rPr>
          <w:rFonts w:ascii="Arial" w:hAnsi="Arial" w:cs="Arial"/>
          <w:sz w:val="22"/>
          <w:szCs w:val="22"/>
        </w:rPr>
      </w:pPr>
    </w:p>
    <w:p w:rsidR="000036FD" w:rsidRDefault="00854842" w:rsidP="000036FD">
      <w:pPr>
        <w:keepLines/>
        <w:tabs>
          <w:tab w:val="left" w:pos="900"/>
        </w:tabs>
        <w:rPr>
          <w:rFonts w:ascii="Arial" w:hAnsi="Arial" w:cs="Arial"/>
          <w:sz w:val="22"/>
          <w:szCs w:val="22"/>
        </w:rPr>
      </w:pPr>
      <w:r>
        <w:rPr>
          <w:rFonts w:ascii="Arial" w:hAnsi="Arial" w:cs="Arial"/>
          <w:sz w:val="22"/>
          <w:szCs w:val="22"/>
        </w:rPr>
        <w:t xml:space="preserve">Under </w:t>
      </w:r>
      <w:r w:rsidR="00B36CF6" w:rsidRPr="00300EA7">
        <w:rPr>
          <w:rFonts w:ascii="Arial" w:hAnsi="Arial" w:cs="Arial"/>
          <w:sz w:val="22"/>
          <w:szCs w:val="22"/>
        </w:rPr>
        <w:t xml:space="preserve">Labor Code </w:t>
      </w:r>
      <w:r w:rsidR="000036FD" w:rsidRPr="00300EA7">
        <w:rPr>
          <w:rFonts w:ascii="Arial" w:hAnsi="Arial" w:cs="Arial"/>
          <w:sz w:val="22"/>
          <w:szCs w:val="22"/>
        </w:rPr>
        <w:t>Section 4610</w:t>
      </w:r>
      <w:r>
        <w:rPr>
          <w:rFonts w:ascii="Arial" w:hAnsi="Arial" w:cs="Arial"/>
          <w:sz w:val="22"/>
          <w:szCs w:val="22"/>
        </w:rPr>
        <w:t xml:space="preserve">, </w:t>
      </w:r>
      <w:r w:rsidR="000036FD" w:rsidRPr="00300EA7">
        <w:rPr>
          <w:rFonts w:ascii="Arial" w:hAnsi="Arial" w:cs="Arial"/>
          <w:sz w:val="22"/>
          <w:szCs w:val="22"/>
        </w:rPr>
        <w:t xml:space="preserve">utilization review physicians </w:t>
      </w:r>
      <w:r>
        <w:rPr>
          <w:rFonts w:ascii="Arial" w:hAnsi="Arial" w:cs="Arial"/>
          <w:sz w:val="22"/>
          <w:szCs w:val="22"/>
        </w:rPr>
        <w:t xml:space="preserve">must </w:t>
      </w:r>
      <w:r w:rsidR="000036FD" w:rsidRPr="00300EA7">
        <w:rPr>
          <w:rFonts w:ascii="Arial" w:hAnsi="Arial" w:cs="Arial"/>
          <w:sz w:val="22"/>
          <w:szCs w:val="22"/>
        </w:rPr>
        <w:t xml:space="preserve">determine the appropriateness of requested treatment within very tight time frames.  Treatment guidelines that provide clear direction, are well supported by scientific medical evidence, and are based on graded peer reviews are essential for the utilization review system to function as intended.  Conversely, a treatment </w:t>
      </w:r>
      <w:r w:rsidR="00C217A9" w:rsidRPr="00300EA7">
        <w:rPr>
          <w:rFonts w:ascii="Arial" w:hAnsi="Arial" w:cs="Arial"/>
          <w:sz w:val="22"/>
          <w:szCs w:val="22"/>
        </w:rPr>
        <w:t xml:space="preserve">guideline </w:t>
      </w:r>
      <w:r w:rsidR="000036FD" w:rsidRPr="00300EA7">
        <w:rPr>
          <w:rFonts w:ascii="Arial" w:hAnsi="Arial" w:cs="Arial"/>
          <w:sz w:val="22"/>
          <w:szCs w:val="22"/>
        </w:rPr>
        <w:t>that is indefinite</w:t>
      </w:r>
      <w:r w:rsidR="00CC61B5" w:rsidRPr="00300EA7">
        <w:rPr>
          <w:rFonts w:ascii="Arial" w:hAnsi="Arial" w:cs="Arial"/>
          <w:sz w:val="22"/>
          <w:szCs w:val="22"/>
        </w:rPr>
        <w:t xml:space="preserve"> and </w:t>
      </w:r>
      <w:r w:rsidR="00C217A9" w:rsidRPr="00300EA7">
        <w:rPr>
          <w:rFonts w:ascii="Arial" w:hAnsi="Arial" w:cs="Arial"/>
          <w:sz w:val="22"/>
          <w:szCs w:val="22"/>
        </w:rPr>
        <w:t>overly</w:t>
      </w:r>
      <w:r w:rsidR="00CC61B5" w:rsidRPr="00300EA7">
        <w:rPr>
          <w:rFonts w:ascii="Arial" w:hAnsi="Arial" w:cs="Arial"/>
          <w:sz w:val="22"/>
          <w:szCs w:val="22"/>
        </w:rPr>
        <w:t xml:space="preserve"> conditional is</w:t>
      </w:r>
      <w:r w:rsidR="000036FD" w:rsidRPr="00300EA7">
        <w:rPr>
          <w:rFonts w:ascii="Arial" w:hAnsi="Arial" w:cs="Arial"/>
          <w:sz w:val="22"/>
          <w:szCs w:val="22"/>
        </w:rPr>
        <w:t xml:space="preserve"> in conflict with </w:t>
      </w:r>
      <w:r w:rsidR="001445D9" w:rsidRPr="00300EA7">
        <w:rPr>
          <w:rFonts w:ascii="Arial" w:hAnsi="Arial" w:cs="Arial"/>
          <w:sz w:val="22"/>
          <w:szCs w:val="22"/>
        </w:rPr>
        <w:t>the statutory</w:t>
      </w:r>
      <w:r w:rsidR="00847DC8" w:rsidRPr="00300EA7">
        <w:rPr>
          <w:rFonts w:ascii="Arial" w:hAnsi="Arial" w:cs="Arial"/>
          <w:sz w:val="22"/>
          <w:szCs w:val="22"/>
        </w:rPr>
        <w:t xml:space="preserve"> </w:t>
      </w:r>
      <w:r w:rsidR="00C217A9" w:rsidRPr="00300EA7">
        <w:rPr>
          <w:rFonts w:ascii="Arial" w:hAnsi="Arial" w:cs="Arial"/>
          <w:sz w:val="22"/>
          <w:szCs w:val="22"/>
        </w:rPr>
        <w:t>require</w:t>
      </w:r>
      <w:r w:rsidR="00847DC8" w:rsidRPr="00300EA7">
        <w:rPr>
          <w:rFonts w:ascii="Arial" w:hAnsi="Arial" w:cs="Arial"/>
          <w:sz w:val="22"/>
          <w:szCs w:val="22"/>
        </w:rPr>
        <w:t>ment</w:t>
      </w:r>
      <w:r w:rsidR="00DA1D1E" w:rsidRPr="00300EA7">
        <w:rPr>
          <w:rFonts w:ascii="Arial" w:hAnsi="Arial" w:cs="Arial"/>
          <w:sz w:val="22"/>
          <w:szCs w:val="22"/>
        </w:rPr>
        <w:t>s</w:t>
      </w:r>
      <w:r w:rsidR="00484756">
        <w:rPr>
          <w:rFonts w:ascii="Arial" w:hAnsi="Arial" w:cs="Arial"/>
          <w:sz w:val="22"/>
          <w:szCs w:val="22"/>
        </w:rPr>
        <w:t xml:space="preserve"> and fosters confusion and disputes</w:t>
      </w:r>
      <w:r w:rsidR="00847DC8" w:rsidRPr="00300EA7">
        <w:rPr>
          <w:rFonts w:ascii="Arial" w:hAnsi="Arial" w:cs="Arial"/>
          <w:sz w:val="22"/>
          <w:szCs w:val="22"/>
        </w:rPr>
        <w:t>.</w:t>
      </w:r>
      <w:r w:rsidR="00C217A9" w:rsidRPr="00300EA7">
        <w:rPr>
          <w:rFonts w:ascii="Arial" w:hAnsi="Arial" w:cs="Arial"/>
          <w:sz w:val="22"/>
          <w:szCs w:val="22"/>
        </w:rPr>
        <w:t xml:space="preserve"> </w:t>
      </w:r>
    </w:p>
    <w:p w:rsidR="00DF10B4" w:rsidRDefault="00DF10B4" w:rsidP="000036FD">
      <w:pPr>
        <w:keepLines/>
        <w:tabs>
          <w:tab w:val="left" w:pos="900"/>
        </w:tabs>
        <w:rPr>
          <w:rFonts w:ascii="Arial" w:hAnsi="Arial" w:cs="Arial"/>
          <w:sz w:val="22"/>
          <w:szCs w:val="22"/>
        </w:rPr>
      </w:pPr>
    </w:p>
    <w:p w:rsidR="00AD2464" w:rsidRDefault="00AD2464" w:rsidP="000036FD">
      <w:pPr>
        <w:keepLines/>
        <w:tabs>
          <w:tab w:val="left" w:pos="900"/>
        </w:tabs>
        <w:rPr>
          <w:rFonts w:ascii="Arial" w:hAnsi="Arial" w:cs="Arial"/>
          <w:sz w:val="22"/>
          <w:szCs w:val="22"/>
        </w:rPr>
      </w:pPr>
    </w:p>
    <w:p w:rsidR="00AD2464" w:rsidRDefault="00AD2464" w:rsidP="00AD2464">
      <w:pPr>
        <w:keepLines/>
        <w:tabs>
          <w:tab w:val="left" w:pos="900"/>
        </w:tabs>
        <w:jc w:val="center"/>
        <w:rPr>
          <w:rFonts w:ascii="Arial" w:hAnsi="Arial" w:cs="Arial"/>
          <w:b/>
          <w:color w:val="252525"/>
          <w:szCs w:val="24"/>
        </w:rPr>
      </w:pPr>
      <w:r w:rsidRPr="00AD2464">
        <w:rPr>
          <w:rFonts w:ascii="Arial" w:hAnsi="Arial" w:cs="Arial"/>
          <w:b/>
          <w:color w:val="252525"/>
          <w:szCs w:val="24"/>
        </w:rPr>
        <w:t>Chronic Pain Medical Treatment Guidelines</w:t>
      </w:r>
    </w:p>
    <w:p w:rsidR="00AD2464" w:rsidRPr="00AD2464" w:rsidRDefault="00AD2464" w:rsidP="00AD2464">
      <w:pPr>
        <w:keepLines/>
        <w:tabs>
          <w:tab w:val="left" w:pos="900"/>
        </w:tabs>
        <w:jc w:val="center"/>
        <w:rPr>
          <w:rFonts w:ascii="Arial" w:hAnsi="Arial" w:cs="Arial"/>
          <w:sz w:val="22"/>
          <w:szCs w:val="22"/>
          <w:highlight w:val="cyan"/>
        </w:rPr>
      </w:pPr>
    </w:p>
    <w:p w:rsidR="008E4109" w:rsidRPr="008E4109" w:rsidRDefault="009D70C4" w:rsidP="008E4109">
      <w:pPr>
        <w:shd w:val="clear" w:color="auto" w:fill="FFFFFF"/>
        <w:spacing w:line="360" w:lineRule="atLeast"/>
        <w:rPr>
          <w:rFonts w:ascii="Arial" w:hAnsi="Arial" w:cs="Arial"/>
          <w:b/>
          <w:color w:val="252525"/>
          <w:sz w:val="22"/>
          <w:szCs w:val="24"/>
        </w:rPr>
      </w:pPr>
      <w:proofErr w:type="gramStart"/>
      <w:r w:rsidRPr="009D70C4">
        <w:rPr>
          <w:rFonts w:ascii="Arial" w:hAnsi="Arial" w:cs="Arial"/>
          <w:b/>
          <w:color w:val="252525"/>
          <w:sz w:val="22"/>
          <w:szCs w:val="24"/>
        </w:rPr>
        <w:t>§ 9792.24.2.</w:t>
      </w:r>
      <w:proofErr w:type="gramEnd"/>
      <w:r w:rsidRPr="009D70C4">
        <w:rPr>
          <w:rFonts w:ascii="Arial" w:hAnsi="Arial" w:cs="Arial"/>
          <w:b/>
          <w:color w:val="252525"/>
          <w:sz w:val="22"/>
          <w:szCs w:val="24"/>
        </w:rPr>
        <w:t xml:space="preserve"> Chronic Pain Medical Treatment Guidelines</w:t>
      </w:r>
    </w:p>
    <w:p w:rsidR="0081249C" w:rsidRPr="003B0ADF" w:rsidRDefault="0081249C" w:rsidP="0081249C">
      <w:pPr>
        <w:keepLines/>
        <w:tabs>
          <w:tab w:val="left" w:pos="900"/>
        </w:tabs>
        <w:rPr>
          <w:rFonts w:ascii="Arial" w:hAnsi="Arial" w:cs="Arial"/>
          <w:color w:val="auto"/>
          <w:spacing w:val="-5"/>
          <w:sz w:val="22"/>
          <w:szCs w:val="22"/>
        </w:rPr>
      </w:pPr>
      <w:r w:rsidRPr="003B0ADF">
        <w:rPr>
          <w:rFonts w:ascii="Arial" w:hAnsi="Arial" w:cs="Arial"/>
          <w:color w:val="auto"/>
          <w:spacing w:val="-5"/>
          <w:sz w:val="22"/>
          <w:szCs w:val="22"/>
        </w:rPr>
        <w:t xml:space="preserve">Recommended revisions to the proposed regulations are indicated by highlighted </w:t>
      </w:r>
      <w:r w:rsidRPr="003B0ADF">
        <w:rPr>
          <w:rFonts w:ascii="Arial" w:hAnsi="Arial" w:cs="Arial"/>
          <w:color w:val="auto"/>
          <w:sz w:val="22"/>
          <w:szCs w:val="22"/>
          <w:highlight w:val="yellow"/>
          <w:u w:val="single"/>
        </w:rPr>
        <w:t>underscore</w:t>
      </w:r>
      <w:r w:rsidRPr="003B0ADF">
        <w:rPr>
          <w:rFonts w:ascii="Arial" w:hAnsi="Arial" w:cs="Arial"/>
          <w:color w:val="auto"/>
          <w:spacing w:val="-5"/>
          <w:sz w:val="22"/>
          <w:szCs w:val="22"/>
        </w:rPr>
        <w:t xml:space="preserve"> and </w:t>
      </w:r>
      <w:r w:rsidRPr="003B0ADF">
        <w:rPr>
          <w:rFonts w:ascii="Arial" w:hAnsi="Arial" w:cs="Arial"/>
          <w:strike/>
          <w:color w:val="auto"/>
          <w:sz w:val="22"/>
          <w:szCs w:val="22"/>
          <w:highlight w:val="yellow"/>
        </w:rPr>
        <w:t>strikeout</w:t>
      </w:r>
      <w:r w:rsidRPr="003B0ADF">
        <w:rPr>
          <w:rFonts w:ascii="Arial" w:hAnsi="Arial" w:cs="Arial"/>
          <w:color w:val="auto"/>
          <w:spacing w:val="-5"/>
          <w:sz w:val="22"/>
          <w:szCs w:val="22"/>
        </w:rPr>
        <w:t xml:space="preserve">.  Comments and discussion are indented and identified by </w:t>
      </w:r>
      <w:r w:rsidRPr="003B0ADF">
        <w:rPr>
          <w:rFonts w:ascii="Arial" w:hAnsi="Arial" w:cs="Arial"/>
          <w:i/>
          <w:color w:val="auto"/>
          <w:sz w:val="22"/>
          <w:szCs w:val="22"/>
        </w:rPr>
        <w:t>italicized text</w:t>
      </w:r>
      <w:r w:rsidRPr="003B0ADF">
        <w:rPr>
          <w:rFonts w:ascii="Arial" w:hAnsi="Arial" w:cs="Arial"/>
          <w:color w:val="auto"/>
          <w:spacing w:val="-5"/>
          <w:sz w:val="22"/>
          <w:szCs w:val="22"/>
        </w:rPr>
        <w:t xml:space="preserve">. </w:t>
      </w:r>
    </w:p>
    <w:p w:rsidR="009D70C4" w:rsidRPr="009D70C4" w:rsidRDefault="009D70C4" w:rsidP="009D70C4">
      <w:pPr>
        <w:shd w:val="clear" w:color="auto" w:fill="FFFFFF"/>
        <w:spacing w:line="360" w:lineRule="atLeast"/>
        <w:rPr>
          <w:rFonts w:ascii="Arial" w:hAnsi="Arial" w:cs="Arial"/>
          <w:b/>
          <w:color w:val="252525"/>
          <w:sz w:val="22"/>
          <w:szCs w:val="24"/>
        </w:rPr>
      </w:pPr>
      <w:r>
        <w:rPr>
          <w:rFonts w:ascii="Arial" w:hAnsi="Arial" w:cs="Arial"/>
          <w:b/>
          <w:color w:val="252525"/>
          <w:sz w:val="22"/>
          <w:szCs w:val="24"/>
        </w:rPr>
        <w:t>Recommendation</w:t>
      </w:r>
    </w:p>
    <w:p w:rsidR="008E4109" w:rsidRDefault="008E4109" w:rsidP="009D70C4">
      <w:pPr>
        <w:shd w:val="clear" w:color="auto" w:fill="FFFFFF"/>
        <w:jc w:val="both"/>
        <w:rPr>
          <w:rFonts w:ascii="Arial" w:hAnsi="Arial" w:cs="Arial"/>
          <w:color w:val="212121"/>
          <w:sz w:val="22"/>
          <w:szCs w:val="24"/>
        </w:rPr>
      </w:pPr>
    </w:p>
    <w:p w:rsidR="009D70C4" w:rsidRDefault="009D70C4" w:rsidP="009D70C4">
      <w:pPr>
        <w:shd w:val="clear" w:color="auto" w:fill="FFFFFF"/>
        <w:jc w:val="both"/>
        <w:rPr>
          <w:rFonts w:ascii="Arial" w:hAnsi="Arial" w:cs="Arial"/>
          <w:color w:val="212121"/>
          <w:sz w:val="22"/>
          <w:szCs w:val="24"/>
        </w:rPr>
      </w:pPr>
      <w:r w:rsidRPr="009D70C4">
        <w:rPr>
          <w:rFonts w:ascii="Arial" w:hAnsi="Arial" w:cs="Arial"/>
          <w:color w:val="212121"/>
          <w:sz w:val="22"/>
          <w:szCs w:val="24"/>
        </w:rPr>
        <w:t xml:space="preserve">(a) The Chronic Pain Medical Treatment Guidelines </w:t>
      </w:r>
      <w:r w:rsidRPr="009D70C4">
        <w:rPr>
          <w:rFonts w:ascii="Arial" w:hAnsi="Arial" w:cs="Arial"/>
          <w:strike/>
          <w:color w:val="212121"/>
          <w:sz w:val="22"/>
          <w:szCs w:val="24"/>
        </w:rPr>
        <w:t xml:space="preserve">(May, 2009) </w:t>
      </w:r>
      <w:r w:rsidRPr="009D70C4">
        <w:rPr>
          <w:rFonts w:ascii="Arial" w:hAnsi="Arial" w:cs="Arial"/>
          <w:color w:val="212121"/>
          <w:sz w:val="22"/>
          <w:szCs w:val="24"/>
        </w:rPr>
        <w:t>[</w:t>
      </w:r>
      <w:r w:rsidRPr="009D70C4">
        <w:rPr>
          <w:rFonts w:ascii="Arial" w:hAnsi="Arial" w:cs="Arial"/>
          <w:color w:val="auto"/>
          <w:sz w:val="22"/>
          <w:szCs w:val="24"/>
          <w:u w:val="single"/>
        </w:rPr>
        <w:t>insert effective date of regulations]</w:t>
      </w:r>
      <w:r w:rsidRPr="009D70C4">
        <w:rPr>
          <w:rFonts w:ascii="Arial" w:hAnsi="Arial" w:cs="Arial"/>
          <w:color w:val="212121"/>
          <w:sz w:val="22"/>
          <w:szCs w:val="24"/>
        </w:rPr>
        <w:t xml:space="preserve">, consisting of two parts, are adopted and incorporated by reference into the MTUS. Part 1 is entitled Introduction. Part 2 is entitled </w:t>
      </w:r>
      <w:r w:rsidRPr="009D70C4">
        <w:rPr>
          <w:rFonts w:ascii="Arial" w:hAnsi="Arial" w:cs="Arial"/>
          <w:strike/>
          <w:color w:val="212121"/>
          <w:sz w:val="22"/>
          <w:szCs w:val="24"/>
        </w:rPr>
        <w:t xml:space="preserve">Pain Interventions and Treatments. </w:t>
      </w:r>
      <w:r w:rsidRPr="009D70C4">
        <w:rPr>
          <w:rFonts w:ascii="Arial" w:hAnsi="Arial" w:cs="Arial"/>
          <w:color w:val="212121"/>
          <w:sz w:val="22"/>
          <w:szCs w:val="24"/>
          <w:u w:val="single"/>
        </w:rPr>
        <w:t>the “</w:t>
      </w:r>
      <w:r w:rsidRPr="009D70C4">
        <w:rPr>
          <w:rFonts w:ascii="Arial" w:hAnsi="Arial" w:cs="Arial"/>
          <w:strike/>
          <w:color w:val="212121"/>
          <w:sz w:val="22"/>
          <w:szCs w:val="24"/>
          <w:highlight w:val="yellow"/>
          <w:u w:val="single"/>
        </w:rPr>
        <w:t xml:space="preserve">Official Disability </w:t>
      </w:r>
      <w:r w:rsidRPr="009D70C4">
        <w:rPr>
          <w:rFonts w:ascii="Arial" w:hAnsi="Arial" w:cs="Arial"/>
          <w:color w:val="212121"/>
          <w:sz w:val="22"/>
          <w:szCs w:val="24"/>
          <w:highlight w:val="yellow"/>
          <w:u w:val="single"/>
        </w:rPr>
        <w:t>Chronic Pain Medical Treatment</w:t>
      </w:r>
      <w:r w:rsidRPr="009D70C4">
        <w:rPr>
          <w:rFonts w:ascii="Arial" w:hAnsi="Arial" w:cs="Arial"/>
          <w:color w:val="212121"/>
          <w:sz w:val="22"/>
          <w:szCs w:val="24"/>
          <w:u w:val="single"/>
        </w:rPr>
        <w:t xml:space="preserve"> Guidelines </w:t>
      </w:r>
      <w:r w:rsidRPr="009D70C4">
        <w:rPr>
          <w:rFonts w:ascii="Arial" w:hAnsi="Arial" w:cs="Arial"/>
          <w:strike/>
          <w:color w:val="212121"/>
          <w:sz w:val="22"/>
          <w:szCs w:val="24"/>
          <w:highlight w:val="yellow"/>
          <w:u w:val="single"/>
        </w:rPr>
        <w:t>(ODG) Treatment in Workers’ Compensation – Pain (Chronic)</w:t>
      </w:r>
      <w:r w:rsidRPr="009D70C4">
        <w:rPr>
          <w:rFonts w:ascii="Arial" w:hAnsi="Arial" w:cs="Arial"/>
          <w:color w:val="212121"/>
          <w:sz w:val="22"/>
          <w:szCs w:val="24"/>
          <w:u w:val="single"/>
        </w:rPr>
        <w:t xml:space="preserve">” consisting of an edited version from the Official Disability Guidelines published on April 6, 2015, which the Division of Workers’ Compensation has adapted with permission from the publisher. </w:t>
      </w:r>
      <w:r w:rsidRPr="009D70C4">
        <w:rPr>
          <w:rFonts w:ascii="Arial" w:hAnsi="Arial" w:cs="Arial"/>
          <w:strike/>
          <w:color w:val="212121"/>
          <w:sz w:val="22"/>
          <w:szCs w:val="24"/>
        </w:rPr>
        <w:t>These guidelines replace Chapter 6 of the ACOEM Practice Guidelines, 2nd Edition (2004). Where the clinical topic sections of the MTUS in the series of sections commencing with 9792.23.1 et seq., make reference to Chapter 6 or when there is a reference to the “pain chapter,” or “pain assessment,” the chronic pain medical treatment guidelines will apply instead of Chapter 6</w:t>
      </w:r>
      <w:r w:rsidRPr="009D70C4">
        <w:rPr>
          <w:rFonts w:ascii="Arial" w:hAnsi="Arial" w:cs="Arial"/>
          <w:color w:val="212121"/>
          <w:sz w:val="22"/>
          <w:szCs w:val="24"/>
        </w:rPr>
        <w:t xml:space="preserve">. A copy of the </w:t>
      </w:r>
      <w:proofErr w:type="spellStart"/>
      <w:r w:rsidRPr="009D70C4">
        <w:rPr>
          <w:rFonts w:ascii="Arial" w:hAnsi="Arial" w:cs="Arial"/>
          <w:strike/>
          <w:color w:val="212121"/>
          <w:sz w:val="22"/>
          <w:szCs w:val="24"/>
        </w:rPr>
        <w:t>c</w:t>
      </w:r>
      <w:r w:rsidRPr="009D70C4">
        <w:rPr>
          <w:rFonts w:ascii="Arial" w:hAnsi="Arial" w:cs="Arial"/>
          <w:color w:val="212121"/>
          <w:sz w:val="22"/>
          <w:szCs w:val="24"/>
          <w:u w:val="single"/>
        </w:rPr>
        <w:t>C</w:t>
      </w:r>
      <w:r w:rsidRPr="009D70C4">
        <w:rPr>
          <w:rFonts w:ascii="Arial" w:hAnsi="Arial" w:cs="Arial"/>
          <w:color w:val="212121"/>
          <w:sz w:val="22"/>
          <w:szCs w:val="24"/>
        </w:rPr>
        <w:t>hronic</w:t>
      </w:r>
      <w:proofErr w:type="spellEnd"/>
      <w:r w:rsidRPr="009D70C4">
        <w:rPr>
          <w:rFonts w:ascii="Arial" w:hAnsi="Arial" w:cs="Arial"/>
          <w:color w:val="212121"/>
          <w:sz w:val="22"/>
          <w:szCs w:val="24"/>
        </w:rPr>
        <w:t xml:space="preserve"> </w:t>
      </w:r>
      <w:proofErr w:type="spellStart"/>
      <w:r w:rsidRPr="009D70C4">
        <w:rPr>
          <w:rFonts w:ascii="Arial" w:hAnsi="Arial" w:cs="Arial"/>
          <w:strike/>
          <w:color w:val="212121"/>
          <w:sz w:val="22"/>
          <w:szCs w:val="24"/>
        </w:rPr>
        <w:t>p</w:t>
      </w:r>
      <w:r w:rsidRPr="009D70C4">
        <w:rPr>
          <w:rFonts w:ascii="Arial" w:hAnsi="Arial" w:cs="Arial"/>
          <w:color w:val="212121"/>
          <w:sz w:val="22"/>
          <w:szCs w:val="24"/>
          <w:u w:val="single"/>
        </w:rPr>
        <w:t>P</w:t>
      </w:r>
      <w:r w:rsidRPr="009D70C4">
        <w:rPr>
          <w:rFonts w:ascii="Arial" w:hAnsi="Arial" w:cs="Arial"/>
          <w:color w:val="212121"/>
          <w:sz w:val="22"/>
          <w:szCs w:val="24"/>
        </w:rPr>
        <w:t>ain</w:t>
      </w:r>
      <w:proofErr w:type="spellEnd"/>
      <w:r w:rsidRPr="009D70C4">
        <w:rPr>
          <w:rFonts w:ascii="Arial" w:hAnsi="Arial" w:cs="Arial"/>
          <w:color w:val="212121"/>
          <w:sz w:val="22"/>
          <w:szCs w:val="24"/>
        </w:rPr>
        <w:t xml:space="preserve"> </w:t>
      </w:r>
      <w:proofErr w:type="spellStart"/>
      <w:r w:rsidRPr="009D70C4">
        <w:rPr>
          <w:rFonts w:ascii="Arial" w:hAnsi="Arial" w:cs="Arial"/>
          <w:strike/>
          <w:color w:val="212121"/>
          <w:sz w:val="22"/>
          <w:szCs w:val="24"/>
        </w:rPr>
        <w:t>m</w:t>
      </w:r>
      <w:r w:rsidRPr="009D70C4">
        <w:rPr>
          <w:rFonts w:ascii="Arial" w:hAnsi="Arial" w:cs="Arial"/>
          <w:color w:val="212121"/>
          <w:sz w:val="22"/>
          <w:szCs w:val="24"/>
          <w:u w:val="single"/>
        </w:rPr>
        <w:t>M</w:t>
      </w:r>
      <w:r w:rsidRPr="009D70C4">
        <w:rPr>
          <w:rFonts w:ascii="Arial" w:hAnsi="Arial" w:cs="Arial"/>
          <w:color w:val="212121"/>
          <w:sz w:val="22"/>
          <w:szCs w:val="24"/>
        </w:rPr>
        <w:t>edical</w:t>
      </w:r>
      <w:proofErr w:type="spellEnd"/>
      <w:r w:rsidRPr="009D70C4">
        <w:rPr>
          <w:rFonts w:ascii="Arial" w:hAnsi="Arial" w:cs="Arial"/>
          <w:color w:val="212121"/>
          <w:sz w:val="22"/>
          <w:szCs w:val="24"/>
        </w:rPr>
        <w:t xml:space="preserve"> </w:t>
      </w:r>
      <w:proofErr w:type="spellStart"/>
      <w:r w:rsidRPr="009D70C4">
        <w:rPr>
          <w:rFonts w:ascii="Arial" w:hAnsi="Arial" w:cs="Arial"/>
          <w:strike/>
          <w:color w:val="212121"/>
          <w:sz w:val="22"/>
          <w:szCs w:val="24"/>
        </w:rPr>
        <w:t>t</w:t>
      </w:r>
      <w:r w:rsidRPr="009D70C4">
        <w:rPr>
          <w:rFonts w:ascii="Arial" w:hAnsi="Arial" w:cs="Arial"/>
          <w:color w:val="212121"/>
          <w:sz w:val="22"/>
          <w:szCs w:val="24"/>
          <w:u w:val="single"/>
        </w:rPr>
        <w:t>T</w:t>
      </w:r>
      <w:r w:rsidRPr="009D70C4">
        <w:rPr>
          <w:rFonts w:ascii="Arial" w:hAnsi="Arial" w:cs="Arial"/>
          <w:color w:val="212121"/>
          <w:sz w:val="22"/>
          <w:szCs w:val="24"/>
        </w:rPr>
        <w:t>reatment</w:t>
      </w:r>
      <w:proofErr w:type="spellEnd"/>
      <w:r w:rsidRPr="009D70C4">
        <w:rPr>
          <w:rFonts w:ascii="Arial" w:hAnsi="Arial" w:cs="Arial"/>
          <w:color w:val="212121"/>
          <w:sz w:val="22"/>
          <w:szCs w:val="24"/>
        </w:rPr>
        <w:t xml:space="preserve"> </w:t>
      </w:r>
      <w:proofErr w:type="spellStart"/>
      <w:r w:rsidRPr="009D70C4">
        <w:rPr>
          <w:rFonts w:ascii="Arial" w:hAnsi="Arial" w:cs="Arial"/>
          <w:strike/>
          <w:color w:val="212121"/>
          <w:sz w:val="22"/>
          <w:szCs w:val="24"/>
        </w:rPr>
        <w:t>g</w:t>
      </w:r>
      <w:r w:rsidRPr="009D70C4">
        <w:rPr>
          <w:rFonts w:ascii="Arial" w:hAnsi="Arial" w:cs="Arial"/>
          <w:color w:val="212121"/>
          <w:sz w:val="22"/>
          <w:szCs w:val="24"/>
          <w:u w:val="single"/>
        </w:rPr>
        <w:t>G</w:t>
      </w:r>
      <w:r w:rsidRPr="009D70C4">
        <w:rPr>
          <w:rFonts w:ascii="Arial" w:hAnsi="Arial" w:cs="Arial"/>
          <w:color w:val="212121"/>
          <w:sz w:val="22"/>
          <w:szCs w:val="24"/>
        </w:rPr>
        <w:t>uidelines</w:t>
      </w:r>
      <w:proofErr w:type="spellEnd"/>
      <w:r w:rsidRPr="009D70C4">
        <w:rPr>
          <w:rFonts w:ascii="Arial" w:hAnsi="Arial" w:cs="Arial"/>
          <w:color w:val="212121"/>
          <w:sz w:val="22"/>
          <w:szCs w:val="24"/>
        </w:rPr>
        <w:t xml:space="preserve"> may be obtained from the Medical Unit, Division of Workers' Compensation, P.O. Box 71010, Oakland, CA 94612-1486, or from the DWC web site </w:t>
      </w:r>
      <w:proofErr w:type="gramStart"/>
      <w:r w:rsidRPr="009D70C4">
        <w:rPr>
          <w:rFonts w:ascii="Arial" w:hAnsi="Arial" w:cs="Arial"/>
          <w:color w:val="212121"/>
          <w:sz w:val="22"/>
          <w:szCs w:val="24"/>
        </w:rPr>
        <w:t>at .</w:t>
      </w:r>
      <w:proofErr w:type="gramEnd"/>
    </w:p>
    <w:p w:rsidR="009D70C4" w:rsidRDefault="009D70C4" w:rsidP="009D70C4">
      <w:pPr>
        <w:shd w:val="clear" w:color="auto" w:fill="FFFFFF"/>
        <w:jc w:val="both"/>
        <w:rPr>
          <w:rFonts w:ascii="Arial" w:hAnsi="Arial" w:cs="Arial"/>
          <w:color w:val="212121"/>
          <w:sz w:val="22"/>
          <w:szCs w:val="24"/>
        </w:rPr>
      </w:pPr>
    </w:p>
    <w:p w:rsidR="00730E59" w:rsidRDefault="00730E59" w:rsidP="009D70C4">
      <w:pPr>
        <w:shd w:val="clear" w:color="auto" w:fill="FFFFFF"/>
        <w:jc w:val="both"/>
        <w:rPr>
          <w:rFonts w:ascii="Arial" w:hAnsi="Arial" w:cs="Arial"/>
          <w:color w:val="212121"/>
          <w:sz w:val="22"/>
          <w:szCs w:val="24"/>
        </w:rPr>
      </w:pPr>
    </w:p>
    <w:p w:rsidR="00B34544" w:rsidRDefault="00B34544" w:rsidP="009D70C4">
      <w:pPr>
        <w:shd w:val="clear" w:color="auto" w:fill="FFFFFF"/>
        <w:jc w:val="both"/>
        <w:rPr>
          <w:rFonts w:ascii="Arial" w:hAnsi="Arial" w:cs="Arial"/>
          <w:color w:val="212121"/>
          <w:sz w:val="22"/>
          <w:szCs w:val="24"/>
        </w:rPr>
      </w:pPr>
    </w:p>
    <w:p w:rsidR="00F33B67" w:rsidRDefault="00F33B67" w:rsidP="009D70C4">
      <w:pPr>
        <w:shd w:val="clear" w:color="auto" w:fill="FFFFFF"/>
        <w:jc w:val="both"/>
        <w:rPr>
          <w:rFonts w:ascii="Arial" w:hAnsi="Arial" w:cs="Arial"/>
          <w:color w:val="212121"/>
          <w:sz w:val="22"/>
          <w:szCs w:val="24"/>
        </w:rPr>
      </w:pPr>
    </w:p>
    <w:p w:rsidR="00CE0E3B" w:rsidRPr="009D70C4" w:rsidRDefault="00CE0E3B" w:rsidP="009D70C4">
      <w:pPr>
        <w:shd w:val="clear" w:color="auto" w:fill="FFFFFF"/>
        <w:jc w:val="both"/>
        <w:rPr>
          <w:rFonts w:ascii="Arial" w:hAnsi="Arial" w:cs="Arial"/>
          <w:b/>
          <w:color w:val="212121"/>
          <w:sz w:val="22"/>
          <w:szCs w:val="24"/>
        </w:rPr>
      </w:pPr>
      <w:r w:rsidRPr="00CE0E3B">
        <w:rPr>
          <w:rFonts w:ascii="Arial" w:hAnsi="Arial" w:cs="Arial"/>
          <w:b/>
          <w:color w:val="212121"/>
          <w:sz w:val="22"/>
          <w:szCs w:val="24"/>
        </w:rPr>
        <w:lastRenderedPageBreak/>
        <w:t>Discussion</w:t>
      </w:r>
    </w:p>
    <w:p w:rsidR="009D70C4" w:rsidRPr="009D70C4" w:rsidRDefault="009A1879" w:rsidP="00615FBE">
      <w:pPr>
        <w:shd w:val="clear" w:color="auto" w:fill="FFFFFF"/>
        <w:spacing w:line="288" w:lineRule="atLeast"/>
        <w:ind w:left="720"/>
        <w:rPr>
          <w:rFonts w:ascii="Arial" w:hAnsi="Arial" w:cs="Arial"/>
          <w:i/>
          <w:color w:val="212121"/>
          <w:sz w:val="22"/>
          <w:szCs w:val="24"/>
        </w:rPr>
      </w:pPr>
      <w:r>
        <w:rPr>
          <w:rFonts w:ascii="Arial" w:hAnsi="Arial" w:cs="Arial"/>
          <w:i/>
          <w:color w:val="212121"/>
          <w:sz w:val="22"/>
          <w:szCs w:val="24"/>
        </w:rPr>
        <w:t>A</w:t>
      </w:r>
      <w:r w:rsidR="009D70C4" w:rsidRPr="009D70C4">
        <w:rPr>
          <w:rFonts w:ascii="Arial" w:hAnsi="Arial" w:cs="Arial"/>
          <w:i/>
          <w:color w:val="212121"/>
          <w:sz w:val="22"/>
          <w:szCs w:val="24"/>
        </w:rPr>
        <w:t xml:space="preserve"> proper title for Part 2 is “Chronic Pain Medical Treatment Guidelines” </w:t>
      </w:r>
      <w:r>
        <w:rPr>
          <w:rFonts w:ascii="Arial" w:hAnsi="Arial" w:cs="Arial"/>
          <w:i/>
          <w:color w:val="212121"/>
          <w:sz w:val="22"/>
          <w:szCs w:val="24"/>
        </w:rPr>
        <w:t xml:space="preserve">or “Chronic Pain Guidelines” </w:t>
      </w:r>
      <w:r w:rsidR="009D70C4" w:rsidRPr="009D70C4">
        <w:rPr>
          <w:rFonts w:ascii="Arial" w:hAnsi="Arial" w:cs="Arial"/>
          <w:i/>
          <w:color w:val="212121"/>
          <w:sz w:val="22"/>
          <w:szCs w:val="24"/>
        </w:rPr>
        <w:t xml:space="preserve">as the Division is not adopting the ODG Guidelines, but rather a modified version of those Guidelines.  Naming the guidelines “Official Disability Guidelines (ODG)” causes unnecessary confusion over whether </w:t>
      </w:r>
      <w:r w:rsidR="00854842">
        <w:rPr>
          <w:rFonts w:ascii="Arial" w:hAnsi="Arial" w:cs="Arial"/>
          <w:i/>
          <w:color w:val="212121"/>
          <w:sz w:val="22"/>
          <w:szCs w:val="24"/>
        </w:rPr>
        <w:t>references and citations to the guidelines refer to t</w:t>
      </w:r>
      <w:r w:rsidR="009D70C4" w:rsidRPr="009D70C4">
        <w:rPr>
          <w:rFonts w:ascii="Arial" w:hAnsi="Arial" w:cs="Arial"/>
          <w:i/>
          <w:color w:val="212121"/>
          <w:sz w:val="22"/>
          <w:szCs w:val="24"/>
        </w:rPr>
        <w:t>he modified version adopted in 9792.24.2 and specified in 9792.21.1(a)(1)</w:t>
      </w:r>
      <w:r w:rsidR="00854842">
        <w:rPr>
          <w:rFonts w:ascii="Arial" w:hAnsi="Arial" w:cs="Arial"/>
          <w:i/>
          <w:color w:val="212121"/>
          <w:sz w:val="22"/>
          <w:szCs w:val="24"/>
        </w:rPr>
        <w:t xml:space="preserve"> </w:t>
      </w:r>
      <w:r w:rsidR="009D70C4" w:rsidRPr="009D70C4">
        <w:rPr>
          <w:rFonts w:ascii="Arial" w:hAnsi="Arial" w:cs="Arial"/>
          <w:i/>
          <w:color w:val="212121"/>
          <w:sz w:val="22"/>
          <w:szCs w:val="24"/>
        </w:rPr>
        <w:t xml:space="preserve"> or </w:t>
      </w:r>
      <w:r w:rsidR="00854842">
        <w:rPr>
          <w:rFonts w:ascii="Arial" w:hAnsi="Arial" w:cs="Arial"/>
          <w:i/>
          <w:color w:val="212121"/>
          <w:sz w:val="22"/>
          <w:szCs w:val="24"/>
        </w:rPr>
        <w:t xml:space="preserve">to </w:t>
      </w:r>
      <w:r w:rsidR="009D70C4" w:rsidRPr="009D70C4">
        <w:rPr>
          <w:rFonts w:ascii="Arial" w:hAnsi="Arial" w:cs="Arial"/>
          <w:i/>
          <w:color w:val="212121"/>
          <w:sz w:val="22"/>
          <w:szCs w:val="24"/>
        </w:rPr>
        <w:t>the most current version of the Official Disability Guidelines as defined in 9792.20(</w:t>
      </w:r>
      <w:proofErr w:type="spellStart"/>
      <w:r w:rsidR="009D70C4" w:rsidRPr="009D70C4">
        <w:rPr>
          <w:rFonts w:ascii="Arial" w:hAnsi="Arial" w:cs="Arial"/>
          <w:i/>
          <w:color w:val="212121"/>
          <w:sz w:val="22"/>
          <w:szCs w:val="24"/>
        </w:rPr>
        <w:t>i</w:t>
      </w:r>
      <w:proofErr w:type="spellEnd"/>
      <w:r w:rsidR="009D70C4" w:rsidRPr="009D70C4">
        <w:rPr>
          <w:rFonts w:ascii="Arial" w:hAnsi="Arial" w:cs="Arial"/>
          <w:i/>
          <w:color w:val="212121"/>
          <w:sz w:val="22"/>
          <w:szCs w:val="24"/>
        </w:rPr>
        <w:t>) and specified in  9792.21.1(a)(2)(A)</w:t>
      </w:r>
      <w:r w:rsidR="00412E1F">
        <w:rPr>
          <w:rFonts w:ascii="Arial" w:hAnsi="Arial" w:cs="Arial"/>
          <w:i/>
          <w:color w:val="212121"/>
          <w:sz w:val="22"/>
          <w:szCs w:val="24"/>
        </w:rPr>
        <w:t>.</w:t>
      </w:r>
      <w:r w:rsidR="00A442AA">
        <w:rPr>
          <w:rFonts w:ascii="Arial" w:hAnsi="Arial" w:cs="Arial"/>
          <w:i/>
          <w:color w:val="212121"/>
          <w:sz w:val="22"/>
          <w:szCs w:val="24"/>
        </w:rPr>
        <w:t xml:space="preserve">  The Institute has observed this to be a problem wh</w:t>
      </w:r>
      <w:r w:rsidR="000530AF">
        <w:rPr>
          <w:rFonts w:ascii="Arial" w:hAnsi="Arial" w:cs="Arial"/>
          <w:i/>
          <w:color w:val="212121"/>
          <w:sz w:val="22"/>
          <w:szCs w:val="24"/>
        </w:rPr>
        <w:t>ile</w:t>
      </w:r>
      <w:r w:rsidR="00A442AA">
        <w:rPr>
          <w:rFonts w:ascii="Arial" w:hAnsi="Arial" w:cs="Arial"/>
          <w:i/>
          <w:color w:val="212121"/>
          <w:sz w:val="22"/>
          <w:szCs w:val="24"/>
        </w:rPr>
        <w:t xml:space="preserve"> reviewing UR and IMR reviewer determinations</w:t>
      </w:r>
      <w:r w:rsidR="00854842">
        <w:rPr>
          <w:rFonts w:ascii="Arial" w:hAnsi="Arial" w:cs="Arial"/>
          <w:i/>
          <w:color w:val="212121"/>
          <w:sz w:val="22"/>
          <w:szCs w:val="24"/>
        </w:rPr>
        <w:t>,</w:t>
      </w:r>
      <w:r w:rsidR="005C6E5C">
        <w:rPr>
          <w:rFonts w:ascii="Arial" w:hAnsi="Arial" w:cs="Arial"/>
          <w:i/>
          <w:color w:val="212121"/>
          <w:sz w:val="22"/>
          <w:szCs w:val="24"/>
        </w:rPr>
        <w:t xml:space="preserve"> as </w:t>
      </w:r>
      <w:r w:rsidR="00854842">
        <w:rPr>
          <w:rFonts w:ascii="Arial" w:hAnsi="Arial" w:cs="Arial"/>
          <w:i/>
          <w:color w:val="212121"/>
          <w:sz w:val="22"/>
          <w:szCs w:val="24"/>
        </w:rPr>
        <w:t xml:space="preserve">it is </w:t>
      </w:r>
      <w:r w:rsidR="005C6E5C">
        <w:rPr>
          <w:rFonts w:ascii="Arial" w:hAnsi="Arial" w:cs="Arial"/>
          <w:i/>
          <w:color w:val="212121"/>
          <w:sz w:val="22"/>
          <w:szCs w:val="24"/>
        </w:rPr>
        <w:t xml:space="preserve">often unclear whether the </w:t>
      </w:r>
      <w:r w:rsidR="00AC5206">
        <w:rPr>
          <w:rFonts w:ascii="Arial" w:hAnsi="Arial" w:cs="Arial"/>
          <w:i/>
          <w:color w:val="212121"/>
          <w:sz w:val="22"/>
          <w:szCs w:val="24"/>
        </w:rPr>
        <w:t xml:space="preserve">citations are referring to the </w:t>
      </w:r>
      <w:r w:rsidR="005C6E5C">
        <w:rPr>
          <w:rFonts w:ascii="Arial" w:hAnsi="Arial" w:cs="Arial"/>
          <w:i/>
          <w:color w:val="212121"/>
          <w:sz w:val="22"/>
          <w:szCs w:val="24"/>
        </w:rPr>
        <w:t xml:space="preserve">ODG version adopted into the MTUS </w:t>
      </w:r>
      <w:r w:rsidR="0068569D">
        <w:rPr>
          <w:rFonts w:ascii="Arial" w:hAnsi="Arial" w:cs="Arial"/>
          <w:i/>
          <w:color w:val="212121"/>
          <w:sz w:val="22"/>
          <w:szCs w:val="24"/>
        </w:rPr>
        <w:t>or the current version of ODG’</w:t>
      </w:r>
      <w:r w:rsidR="00FA0E63">
        <w:rPr>
          <w:rFonts w:ascii="Arial" w:hAnsi="Arial" w:cs="Arial"/>
          <w:i/>
          <w:color w:val="212121"/>
          <w:sz w:val="22"/>
          <w:szCs w:val="24"/>
        </w:rPr>
        <w:t>s guidelines</w:t>
      </w:r>
      <w:r w:rsidR="00A442AA">
        <w:rPr>
          <w:rFonts w:ascii="Arial" w:hAnsi="Arial" w:cs="Arial"/>
          <w:i/>
          <w:color w:val="212121"/>
          <w:sz w:val="22"/>
          <w:szCs w:val="24"/>
        </w:rPr>
        <w:t>.</w:t>
      </w:r>
    </w:p>
    <w:p w:rsidR="009D70C4" w:rsidRDefault="009D70C4" w:rsidP="009D70C4">
      <w:pPr>
        <w:shd w:val="clear" w:color="auto" w:fill="FFFFFF"/>
        <w:spacing w:line="288" w:lineRule="atLeast"/>
        <w:ind w:left="720"/>
        <w:jc w:val="both"/>
        <w:rPr>
          <w:rFonts w:ascii="Arial" w:hAnsi="Arial" w:cs="Arial"/>
          <w:i/>
          <w:color w:val="212121"/>
          <w:sz w:val="22"/>
          <w:szCs w:val="24"/>
        </w:rPr>
      </w:pPr>
    </w:p>
    <w:p w:rsidR="007A2FBE" w:rsidRPr="009D70C4" w:rsidRDefault="007A2FBE" w:rsidP="007A2FBE">
      <w:pPr>
        <w:shd w:val="clear" w:color="auto" w:fill="FFFFFF"/>
        <w:spacing w:line="360" w:lineRule="atLeast"/>
        <w:ind w:right="-270"/>
        <w:rPr>
          <w:rFonts w:ascii="Arial" w:hAnsi="Arial" w:cs="Arial"/>
          <w:b/>
          <w:color w:val="252525"/>
          <w:sz w:val="22"/>
          <w:szCs w:val="24"/>
        </w:rPr>
      </w:pPr>
      <w:r>
        <w:rPr>
          <w:rFonts w:ascii="Arial" w:hAnsi="Arial" w:cs="Arial"/>
          <w:b/>
          <w:color w:val="252525"/>
          <w:sz w:val="22"/>
          <w:szCs w:val="24"/>
        </w:rPr>
        <w:t xml:space="preserve">Medical Treatment Utilization Schedule (MTUS) </w:t>
      </w:r>
      <w:r w:rsidRPr="009D70C4">
        <w:rPr>
          <w:rFonts w:ascii="Arial" w:hAnsi="Arial" w:cs="Arial"/>
          <w:b/>
          <w:color w:val="252525"/>
          <w:sz w:val="22"/>
          <w:szCs w:val="24"/>
        </w:rPr>
        <w:t>Chronic Pain Medical Treatment Guidelines</w:t>
      </w:r>
    </w:p>
    <w:p w:rsidR="00205B1A" w:rsidRDefault="00205B1A" w:rsidP="000857CB">
      <w:pPr>
        <w:keepLines/>
        <w:tabs>
          <w:tab w:val="left" w:pos="900"/>
        </w:tabs>
        <w:rPr>
          <w:rFonts w:ascii="Arial" w:hAnsi="Arial" w:cs="Arial"/>
          <w:color w:val="auto"/>
          <w:spacing w:val="-5"/>
          <w:sz w:val="22"/>
          <w:szCs w:val="22"/>
        </w:rPr>
      </w:pPr>
    </w:p>
    <w:p w:rsidR="0005141D" w:rsidRDefault="0005141D" w:rsidP="0005141D">
      <w:pPr>
        <w:autoSpaceDN w:val="0"/>
        <w:rPr>
          <w:rFonts w:ascii="Arial" w:eastAsia="Calibri" w:hAnsi="Arial" w:cs="Arial"/>
          <w:color w:val="auto"/>
          <w:sz w:val="22"/>
          <w:szCs w:val="24"/>
        </w:rPr>
      </w:pPr>
      <w:r>
        <w:rPr>
          <w:rFonts w:ascii="Arial" w:eastAsia="Calibri" w:hAnsi="Arial" w:cs="Arial"/>
          <w:color w:val="auto"/>
          <w:sz w:val="22"/>
          <w:szCs w:val="24"/>
        </w:rPr>
        <w:t xml:space="preserve">The </w:t>
      </w:r>
      <w:r w:rsidR="00F03FB0">
        <w:rPr>
          <w:rFonts w:ascii="Arial" w:eastAsia="Calibri" w:hAnsi="Arial" w:cs="Arial"/>
          <w:color w:val="auto"/>
          <w:sz w:val="22"/>
          <w:szCs w:val="24"/>
        </w:rPr>
        <w:t xml:space="preserve">Institute believes the </w:t>
      </w:r>
      <w:r>
        <w:rPr>
          <w:rFonts w:ascii="Arial" w:eastAsia="Calibri" w:hAnsi="Arial" w:cs="Arial"/>
          <w:color w:val="auto"/>
          <w:sz w:val="22"/>
          <w:szCs w:val="24"/>
        </w:rPr>
        <w:t xml:space="preserve">proposed </w:t>
      </w:r>
      <w:r w:rsidR="00046C2E">
        <w:rPr>
          <w:rFonts w:ascii="Arial" w:eastAsia="Calibri" w:hAnsi="Arial" w:cs="Arial"/>
          <w:color w:val="auto"/>
          <w:sz w:val="22"/>
          <w:szCs w:val="24"/>
        </w:rPr>
        <w:t xml:space="preserve">revised </w:t>
      </w:r>
      <w:r>
        <w:rPr>
          <w:rFonts w:ascii="Arial" w:eastAsia="Calibri" w:hAnsi="Arial" w:cs="Arial"/>
          <w:color w:val="auto"/>
          <w:sz w:val="22"/>
          <w:szCs w:val="24"/>
        </w:rPr>
        <w:t xml:space="preserve">MTUS </w:t>
      </w:r>
      <w:r w:rsidRPr="0005141D">
        <w:rPr>
          <w:rFonts w:ascii="Arial" w:eastAsia="Calibri" w:hAnsi="Arial" w:cs="Arial"/>
          <w:color w:val="auto"/>
          <w:sz w:val="22"/>
          <w:szCs w:val="24"/>
        </w:rPr>
        <w:t>Chronic Pain Medical Treatment Guidelines</w:t>
      </w:r>
      <w:r w:rsidR="00046C2E">
        <w:rPr>
          <w:rFonts w:ascii="Arial" w:eastAsia="Calibri" w:hAnsi="Arial" w:cs="Arial"/>
          <w:color w:val="auto"/>
          <w:sz w:val="22"/>
          <w:szCs w:val="24"/>
        </w:rPr>
        <w:t xml:space="preserve"> </w:t>
      </w:r>
      <w:r w:rsidR="00E6526A">
        <w:rPr>
          <w:rFonts w:ascii="Arial" w:eastAsia="Calibri" w:hAnsi="Arial" w:cs="Arial"/>
          <w:color w:val="auto"/>
          <w:sz w:val="22"/>
          <w:szCs w:val="24"/>
        </w:rPr>
        <w:t>have room for improvement</w:t>
      </w:r>
      <w:r w:rsidR="00046C2E">
        <w:rPr>
          <w:rFonts w:ascii="Arial" w:eastAsia="Calibri" w:hAnsi="Arial" w:cs="Arial"/>
          <w:color w:val="auto"/>
          <w:sz w:val="22"/>
          <w:szCs w:val="24"/>
        </w:rPr>
        <w:t xml:space="preserve">.  It is not always clear </w:t>
      </w:r>
      <w:r w:rsidR="00E6526A">
        <w:rPr>
          <w:rFonts w:ascii="Arial" w:eastAsia="Calibri" w:hAnsi="Arial" w:cs="Arial"/>
          <w:color w:val="auto"/>
          <w:sz w:val="22"/>
          <w:szCs w:val="24"/>
        </w:rPr>
        <w:t xml:space="preserve">in the guidelines </w:t>
      </w:r>
      <w:r w:rsidR="00046C2E">
        <w:rPr>
          <w:rFonts w:ascii="Arial" w:eastAsia="Calibri" w:hAnsi="Arial" w:cs="Arial"/>
          <w:color w:val="auto"/>
          <w:sz w:val="22"/>
          <w:szCs w:val="24"/>
        </w:rPr>
        <w:t>what</w:t>
      </w:r>
      <w:r w:rsidR="007C6FA6">
        <w:rPr>
          <w:rFonts w:ascii="Arial" w:eastAsia="Calibri" w:hAnsi="Arial" w:cs="Arial"/>
          <w:color w:val="auto"/>
          <w:sz w:val="22"/>
          <w:szCs w:val="24"/>
        </w:rPr>
        <w:t>,</w:t>
      </w:r>
      <w:r w:rsidR="00046C2E">
        <w:rPr>
          <w:rFonts w:ascii="Arial" w:eastAsia="Calibri" w:hAnsi="Arial" w:cs="Arial"/>
          <w:color w:val="auto"/>
          <w:sz w:val="22"/>
          <w:szCs w:val="24"/>
        </w:rPr>
        <w:t xml:space="preserve"> </w:t>
      </w:r>
      <w:r w:rsidR="007C6FA6">
        <w:rPr>
          <w:rFonts w:ascii="Arial" w:eastAsia="Calibri" w:hAnsi="Arial" w:cs="Arial"/>
          <w:color w:val="auto"/>
          <w:sz w:val="22"/>
          <w:szCs w:val="24"/>
        </w:rPr>
        <w:t xml:space="preserve">if </w:t>
      </w:r>
      <w:proofErr w:type="gramStart"/>
      <w:r w:rsidR="007C6FA6">
        <w:rPr>
          <w:rFonts w:ascii="Arial" w:eastAsia="Calibri" w:hAnsi="Arial" w:cs="Arial"/>
          <w:color w:val="auto"/>
          <w:sz w:val="22"/>
          <w:szCs w:val="24"/>
        </w:rPr>
        <w:t>anything,</w:t>
      </w:r>
      <w:proofErr w:type="gramEnd"/>
      <w:r w:rsidR="007C6FA6">
        <w:rPr>
          <w:rFonts w:ascii="Arial" w:eastAsia="Calibri" w:hAnsi="Arial" w:cs="Arial"/>
          <w:color w:val="auto"/>
          <w:sz w:val="22"/>
          <w:szCs w:val="24"/>
        </w:rPr>
        <w:t xml:space="preserve"> </w:t>
      </w:r>
      <w:r w:rsidR="00046C2E">
        <w:rPr>
          <w:rFonts w:ascii="Arial" w:eastAsia="Calibri" w:hAnsi="Arial" w:cs="Arial"/>
          <w:color w:val="auto"/>
          <w:sz w:val="22"/>
          <w:szCs w:val="24"/>
        </w:rPr>
        <w:t>is actually recommended</w:t>
      </w:r>
      <w:r w:rsidR="00B6526B">
        <w:rPr>
          <w:rFonts w:ascii="Arial" w:eastAsia="Calibri" w:hAnsi="Arial" w:cs="Arial"/>
          <w:color w:val="auto"/>
          <w:sz w:val="22"/>
          <w:szCs w:val="24"/>
        </w:rPr>
        <w:t xml:space="preserve">, </w:t>
      </w:r>
      <w:r w:rsidR="00A25F28">
        <w:rPr>
          <w:rFonts w:ascii="Arial" w:eastAsia="Calibri" w:hAnsi="Arial" w:cs="Arial"/>
          <w:color w:val="auto"/>
          <w:sz w:val="22"/>
          <w:szCs w:val="24"/>
        </w:rPr>
        <w:t>and/or under what conditions a recommendation applies.  M</w:t>
      </w:r>
      <w:r w:rsidR="007C6FA6">
        <w:rPr>
          <w:rFonts w:ascii="Arial" w:eastAsia="Calibri" w:hAnsi="Arial" w:cs="Arial"/>
          <w:color w:val="auto"/>
          <w:sz w:val="22"/>
          <w:szCs w:val="24"/>
        </w:rPr>
        <w:t>ultiple</w:t>
      </w:r>
      <w:r w:rsidR="00A25F28">
        <w:rPr>
          <w:rFonts w:ascii="Arial" w:eastAsia="Calibri" w:hAnsi="Arial" w:cs="Arial"/>
          <w:color w:val="auto"/>
          <w:sz w:val="22"/>
          <w:szCs w:val="24"/>
        </w:rPr>
        <w:t xml:space="preserve"> studies </w:t>
      </w:r>
      <w:r w:rsidR="00C62A9C">
        <w:rPr>
          <w:rFonts w:ascii="Arial" w:eastAsia="Calibri" w:hAnsi="Arial" w:cs="Arial"/>
          <w:color w:val="auto"/>
          <w:sz w:val="22"/>
          <w:szCs w:val="24"/>
        </w:rPr>
        <w:t xml:space="preserve">pertaining to a </w:t>
      </w:r>
      <w:r w:rsidR="00F4473C">
        <w:rPr>
          <w:rFonts w:ascii="Arial" w:eastAsia="Calibri" w:hAnsi="Arial" w:cs="Arial"/>
          <w:color w:val="auto"/>
          <w:sz w:val="22"/>
          <w:szCs w:val="24"/>
        </w:rPr>
        <w:t xml:space="preserve">treatment procedure/modality/good </w:t>
      </w:r>
      <w:r w:rsidR="00A25F28">
        <w:rPr>
          <w:rFonts w:ascii="Arial" w:eastAsia="Calibri" w:hAnsi="Arial" w:cs="Arial"/>
          <w:color w:val="auto"/>
          <w:sz w:val="22"/>
          <w:szCs w:val="24"/>
        </w:rPr>
        <w:t xml:space="preserve">are </w:t>
      </w:r>
      <w:r w:rsidR="007C6FA6">
        <w:rPr>
          <w:rFonts w:ascii="Arial" w:eastAsia="Calibri" w:hAnsi="Arial" w:cs="Arial"/>
          <w:color w:val="auto"/>
          <w:sz w:val="22"/>
          <w:szCs w:val="24"/>
        </w:rPr>
        <w:t xml:space="preserve">typically </w:t>
      </w:r>
      <w:r w:rsidR="00A25F28">
        <w:rPr>
          <w:rFonts w:ascii="Arial" w:eastAsia="Calibri" w:hAnsi="Arial" w:cs="Arial"/>
          <w:color w:val="auto"/>
          <w:sz w:val="22"/>
          <w:szCs w:val="24"/>
        </w:rPr>
        <w:t>described</w:t>
      </w:r>
      <w:r w:rsidR="00B6526B">
        <w:rPr>
          <w:rFonts w:ascii="Arial" w:eastAsia="Calibri" w:hAnsi="Arial" w:cs="Arial"/>
          <w:color w:val="auto"/>
          <w:sz w:val="22"/>
          <w:szCs w:val="24"/>
        </w:rPr>
        <w:t xml:space="preserve"> in the Guideline document</w:t>
      </w:r>
      <w:r w:rsidR="00E73A28">
        <w:rPr>
          <w:rFonts w:ascii="Arial" w:eastAsia="Calibri" w:hAnsi="Arial" w:cs="Arial"/>
          <w:color w:val="auto"/>
          <w:sz w:val="22"/>
          <w:szCs w:val="24"/>
        </w:rPr>
        <w:t>,</w:t>
      </w:r>
      <w:r w:rsidR="00C62A9C">
        <w:rPr>
          <w:rFonts w:ascii="Arial" w:eastAsia="Calibri" w:hAnsi="Arial" w:cs="Arial"/>
          <w:color w:val="auto"/>
          <w:sz w:val="22"/>
          <w:szCs w:val="24"/>
        </w:rPr>
        <w:t xml:space="preserve"> </w:t>
      </w:r>
      <w:r w:rsidR="007C6FA6">
        <w:rPr>
          <w:rFonts w:ascii="Arial" w:eastAsia="Calibri" w:hAnsi="Arial" w:cs="Arial"/>
          <w:color w:val="auto"/>
          <w:sz w:val="22"/>
          <w:szCs w:val="24"/>
        </w:rPr>
        <w:t xml:space="preserve">and </w:t>
      </w:r>
      <w:r w:rsidR="00E73A28">
        <w:rPr>
          <w:rFonts w:ascii="Arial" w:eastAsia="Calibri" w:hAnsi="Arial" w:cs="Arial"/>
          <w:color w:val="auto"/>
          <w:sz w:val="22"/>
          <w:szCs w:val="24"/>
        </w:rPr>
        <w:t>frequently</w:t>
      </w:r>
      <w:r w:rsidR="009C75D7">
        <w:rPr>
          <w:rFonts w:ascii="Arial" w:eastAsia="Calibri" w:hAnsi="Arial" w:cs="Arial"/>
          <w:color w:val="auto"/>
          <w:sz w:val="22"/>
          <w:szCs w:val="24"/>
        </w:rPr>
        <w:t xml:space="preserve"> </w:t>
      </w:r>
      <w:r w:rsidR="00F4473C">
        <w:rPr>
          <w:rFonts w:ascii="Arial" w:eastAsia="Calibri" w:hAnsi="Arial" w:cs="Arial"/>
          <w:color w:val="auto"/>
          <w:sz w:val="22"/>
          <w:szCs w:val="24"/>
        </w:rPr>
        <w:t xml:space="preserve">the </w:t>
      </w:r>
      <w:r w:rsidR="009C75D7">
        <w:rPr>
          <w:rFonts w:ascii="Arial" w:eastAsia="Calibri" w:hAnsi="Arial" w:cs="Arial"/>
          <w:color w:val="auto"/>
          <w:sz w:val="22"/>
          <w:szCs w:val="24"/>
        </w:rPr>
        <w:t xml:space="preserve">descriptions </w:t>
      </w:r>
      <w:r w:rsidR="00C62A9C">
        <w:rPr>
          <w:rFonts w:ascii="Arial" w:eastAsia="Calibri" w:hAnsi="Arial" w:cs="Arial"/>
          <w:color w:val="auto"/>
          <w:sz w:val="22"/>
          <w:szCs w:val="24"/>
        </w:rPr>
        <w:t>include</w:t>
      </w:r>
      <w:r w:rsidR="009C75D7">
        <w:rPr>
          <w:rFonts w:ascii="Arial" w:eastAsia="Calibri" w:hAnsi="Arial" w:cs="Arial"/>
          <w:color w:val="auto"/>
          <w:sz w:val="22"/>
          <w:szCs w:val="24"/>
        </w:rPr>
        <w:t xml:space="preserve"> </w:t>
      </w:r>
      <w:r w:rsidR="00C62A9C">
        <w:rPr>
          <w:rFonts w:ascii="Arial" w:eastAsia="Calibri" w:hAnsi="Arial" w:cs="Arial"/>
          <w:color w:val="auto"/>
          <w:sz w:val="22"/>
          <w:szCs w:val="24"/>
        </w:rPr>
        <w:t xml:space="preserve">the </w:t>
      </w:r>
      <w:r w:rsidR="00F4473C">
        <w:rPr>
          <w:rFonts w:ascii="Arial" w:eastAsia="Calibri" w:hAnsi="Arial" w:cs="Arial"/>
          <w:color w:val="auto"/>
          <w:sz w:val="22"/>
          <w:szCs w:val="24"/>
        </w:rPr>
        <w:t xml:space="preserve">study </w:t>
      </w:r>
      <w:r w:rsidR="009C75D7">
        <w:rPr>
          <w:rFonts w:ascii="Arial" w:eastAsia="Calibri" w:hAnsi="Arial" w:cs="Arial"/>
          <w:color w:val="auto"/>
          <w:sz w:val="22"/>
          <w:szCs w:val="24"/>
        </w:rPr>
        <w:t>recommendations</w:t>
      </w:r>
      <w:r w:rsidR="00033CDE">
        <w:rPr>
          <w:rFonts w:ascii="Arial" w:eastAsia="Calibri" w:hAnsi="Arial" w:cs="Arial"/>
          <w:color w:val="auto"/>
          <w:sz w:val="22"/>
          <w:szCs w:val="24"/>
        </w:rPr>
        <w:t>, which</w:t>
      </w:r>
      <w:r w:rsidR="00E73A28">
        <w:rPr>
          <w:rFonts w:ascii="Arial" w:eastAsia="Calibri" w:hAnsi="Arial" w:cs="Arial"/>
          <w:color w:val="auto"/>
          <w:sz w:val="22"/>
          <w:szCs w:val="24"/>
        </w:rPr>
        <w:t xml:space="preserve"> may be at odds with one another</w:t>
      </w:r>
      <w:r w:rsidR="00823122">
        <w:rPr>
          <w:rFonts w:ascii="Arial" w:eastAsia="Calibri" w:hAnsi="Arial" w:cs="Arial"/>
          <w:color w:val="auto"/>
          <w:sz w:val="22"/>
          <w:szCs w:val="24"/>
        </w:rPr>
        <w:t xml:space="preserve">; </w:t>
      </w:r>
      <w:r w:rsidR="00033CDE">
        <w:rPr>
          <w:rFonts w:ascii="Arial" w:eastAsia="Calibri" w:hAnsi="Arial" w:cs="Arial"/>
          <w:color w:val="auto"/>
          <w:sz w:val="22"/>
          <w:szCs w:val="24"/>
        </w:rPr>
        <w:t>however</w:t>
      </w:r>
      <w:r w:rsidR="00E73A28">
        <w:rPr>
          <w:rFonts w:ascii="Arial" w:eastAsia="Calibri" w:hAnsi="Arial" w:cs="Arial"/>
          <w:color w:val="auto"/>
          <w:sz w:val="22"/>
          <w:szCs w:val="24"/>
        </w:rPr>
        <w:t xml:space="preserve"> o</w:t>
      </w:r>
      <w:r w:rsidR="00C62A9C">
        <w:rPr>
          <w:rFonts w:ascii="Arial" w:eastAsia="Calibri" w:hAnsi="Arial" w:cs="Arial"/>
          <w:color w:val="auto"/>
          <w:sz w:val="22"/>
          <w:szCs w:val="24"/>
        </w:rPr>
        <w:t>ften there is no</w:t>
      </w:r>
      <w:r w:rsidR="00823122">
        <w:rPr>
          <w:rFonts w:ascii="Arial" w:eastAsia="Calibri" w:hAnsi="Arial" w:cs="Arial"/>
          <w:color w:val="auto"/>
          <w:sz w:val="22"/>
          <w:szCs w:val="24"/>
        </w:rPr>
        <w:t xml:space="preserve">thing or little to indicate </w:t>
      </w:r>
      <w:r w:rsidR="00033CDE">
        <w:rPr>
          <w:rFonts w:ascii="Arial" w:eastAsia="Calibri" w:hAnsi="Arial" w:cs="Arial"/>
          <w:color w:val="auto"/>
          <w:sz w:val="22"/>
          <w:szCs w:val="24"/>
        </w:rPr>
        <w:t>an</w:t>
      </w:r>
      <w:r w:rsidR="00823122">
        <w:rPr>
          <w:rFonts w:ascii="Arial" w:eastAsia="Calibri" w:hAnsi="Arial" w:cs="Arial"/>
          <w:color w:val="auto"/>
          <w:sz w:val="22"/>
          <w:szCs w:val="24"/>
        </w:rPr>
        <w:t xml:space="preserve"> MTUS </w:t>
      </w:r>
      <w:r w:rsidR="00823122" w:rsidRPr="0005141D">
        <w:rPr>
          <w:rFonts w:ascii="Arial" w:eastAsia="Calibri" w:hAnsi="Arial" w:cs="Arial"/>
          <w:color w:val="auto"/>
          <w:sz w:val="22"/>
          <w:szCs w:val="24"/>
        </w:rPr>
        <w:t>Chronic Pain Medical Treatment Guidelines</w:t>
      </w:r>
      <w:r w:rsidR="00033CDE" w:rsidRPr="00033CDE">
        <w:rPr>
          <w:rFonts w:ascii="Arial" w:eastAsia="Calibri" w:hAnsi="Arial" w:cs="Arial"/>
          <w:color w:val="auto"/>
          <w:sz w:val="22"/>
          <w:szCs w:val="24"/>
        </w:rPr>
        <w:t xml:space="preserve"> </w:t>
      </w:r>
      <w:r w:rsidR="00033CDE">
        <w:rPr>
          <w:rFonts w:ascii="Arial" w:eastAsia="Calibri" w:hAnsi="Arial" w:cs="Arial"/>
          <w:color w:val="auto"/>
          <w:sz w:val="22"/>
          <w:szCs w:val="24"/>
        </w:rPr>
        <w:t>recommendation</w:t>
      </w:r>
      <w:r w:rsidR="00823122">
        <w:rPr>
          <w:rFonts w:ascii="Arial" w:eastAsia="Calibri" w:hAnsi="Arial" w:cs="Arial"/>
          <w:color w:val="auto"/>
          <w:sz w:val="22"/>
          <w:szCs w:val="24"/>
        </w:rPr>
        <w:t xml:space="preserve">.  Some </w:t>
      </w:r>
      <w:r w:rsidR="00BD3881">
        <w:rPr>
          <w:rFonts w:ascii="Arial" w:eastAsia="Calibri" w:hAnsi="Arial" w:cs="Arial"/>
          <w:color w:val="auto"/>
          <w:sz w:val="22"/>
          <w:szCs w:val="24"/>
        </w:rPr>
        <w:t xml:space="preserve">guideline </w:t>
      </w:r>
      <w:r w:rsidR="00823122">
        <w:rPr>
          <w:rFonts w:ascii="Arial" w:eastAsia="Calibri" w:hAnsi="Arial" w:cs="Arial"/>
          <w:color w:val="auto"/>
          <w:sz w:val="22"/>
          <w:szCs w:val="24"/>
        </w:rPr>
        <w:t>us</w:t>
      </w:r>
      <w:r w:rsidR="00BD3881">
        <w:rPr>
          <w:rFonts w:ascii="Arial" w:eastAsia="Calibri" w:hAnsi="Arial" w:cs="Arial"/>
          <w:color w:val="auto"/>
          <w:sz w:val="22"/>
          <w:szCs w:val="24"/>
        </w:rPr>
        <w:t xml:space="preserve">ers take the position that </w:t>
      </w:r>
      <w:r w:rsidR="00730E59">
        <w:rPr>
          <w:rFonts w:ascii="Arial" w:eastAsia="Calibri" w:hAnsi="Arial" w:cs="Arial"/>
          <w:color w:val="auto"/>
          <w:sz w:val="22"/>
          <w:szCs w:val="24"/>
        </w:rPr>
        <w:t xml:space="preserve">      </w:t>
      </w:r>
      <w:r w:rsidR="00BD3881">
        <w:rPr>
          <w:rFonts w:ascii="Arial" w:eastAsia="Calibri" w:hAnsi="Arial" w:cs="Arial"/>
          <w:color w:val="auto"/>
          <w:sz w:val="22"/>
          <w:szCs w:val="24"/>
        </w:rPr>
        <w:t xml:space="preserve">if a study is described in the MTUS guidelines, its recommendations are MTUS recommendations.  Other guideline users take the position that </w:t>
      </w:r>
      <w:r w:rsidR="00CF7899">
        <w:rPr>
          <w:rFonts w:ascii="Arial" w:eastAsia="Calibri" w:hAnsi="Arial" w:cs="Arial"/>
          <w:color w:val="auto"/>
          <w:sz w:val="22"/>
          <w:szCs w:val="24"/>
        </w:rPr>
        <w:t>such recommendations</w:t>
      </w:r>
      <w:r w:rsidR="00512EFA">
        <w:rPr>
          <w:rFonts w:ascii="Arial" w:eastAsia="Calibri" w:hAnsi="Arial" w:cs="Arial"/>
          <w:color w:val="auto"/>
          <w:sz w:val="22"/>
          <w:szCs w:val="24"/>
        </w:rPr>
        <w:t xml:space="preserve"> are the study’s and not MTUS recommendations</w:t>
      </w:r>
      <w:r w:rsidR="004600C0">
        <w:rPr>
          <w:rFonts w:ascii="Arial" w:eastAsia="Calibri" w:hAnsi="Arial" w:cs="Arial"/>
          <w:color w:val="auto"/>
          <w:sz w:val="22"/>
          <w:szCs w:val="24"/>
        </w:rPr>
        <w:t>.  It is important that the MTUS guidelines are clear.  If they are not, injured employees will not be protected from deleterious and unnecessary care</w:t>
      </w:r>
      <w:r w:rsidR="00870B0B">
        <w:rPr>
          <w:rFonts w:ascii="Arial" w:eastAsia="Calibri" w:hAnsi="Arial" w:cs="Arial"/>
          <w:color w:val="auto"/>
          <w:sz w:val="22"/>
          <w:szCs w:val="24"/>
        </w:rPr>
        <w:t xml:space="preserve"> and will not be assured of effective care.  </w:t>
      </w:r>
      <w:r>
        <w:rPr>
          <w:rFonts w:ascii="Arial" w:eastAsia="Calibri" w:hAnsi="Arial" w:cs="Arial"/>
          <w:color w:val="auto"/>
          <w:sz w:val="22"/>
          <w:szCs w:val="24"/>
        </w:rPr>
        <w:t>T</w:t>
      </w:r>
      <w:r w:rsidRPr="00E44D9F">
        <w:rPr>
          <w:rFonts w:ascii="Arial" w:eastAsia="Calibri" w:hAnsi="Arial" w:cs="Arial"/>
          <w:color w:val="auto"/>
          <w:sz w:val="22"/>
          <w:szCs w:val="24"/>
        </w:rPr>
        <w:t xml:space="preserve">he Institute </w:t>
      </w:r>
      <w:r>
        <w:rPr>
          <w:rFonts w:ascii="Arial" w:eastAsia="Calibri" w:hAnsi="Arial" w:cs="Arial"/>
          <w:color w:val="auto"/>
          <w:sz w:val="22"/>
          <w:szCs w:val="24"/>
        </w:rPr>
        <w:t xml:space="preserve">recommends the following modifications to </w:t>
      </w:r>
      <w:r w:rsidR="00870B0B">
        <w:rPr>
          <w:rFonts w:ascii="Arial" w:eastAsia="Calibri" w:hAnsi="Arial" w:cs="Arial"/>
          <w:color w:val="auto"/>
          <w:sz w:val="22"/>
          <w:szCs w:val="24"/>
        </w:rPr>
        <w:t xml:space="preserve">clarify and </w:t>
      </w:r>
      <w:r>
        <w:rPr>
          <w:rFonts w:ascii="Arial" w:eastAsia="Calibri" w:hAnsi="Arial" w:cs="Arial"/>
          <w:color w:val="auto"/>
          <w:sz w:val="22"/>
          <w:szCs w:val="24"/>
        </w:rPr>
        <w:t>strengthen the proposed Guidelines</w:t>
      </w:r>
      <w:r w:rsidR="00870B0B">
        <w:rPr>
          <w:rFonts w:ascii="Arial" w:eastAsia="Calibri" w:hAnsi="Arial" w:cs="Arial"/>
          <w:color w:val="auto"/>
          <w:sz w:val="22"/>
          <w:szCs w:val="24"/>
        </w:rPr>
        <w:t xml:space="preserve">, and to ensure they conform to </w:t>
      </w:r>
      <w:r w:rsidR="008920D6">
        <w:rPr>
          <w:rFonts w:ascii="Arial" w:eastAsia="Calibri" w:hAnsi="Arial" w:cs="Arial"/>
          <w:color w:val="auto"/>
          <w:sz w:val="22"/>
          <w:szCs w:val="24"/>
        </w:rPr>
        <w:t>statutory and regulatory requirements</w:t>
      </w:r>
      <w:r>
        <w:rPr>
          <w:rFonts w:ascii="Arial" w:eastAsia="Calibri" w:hAnsi="Arial" w:cs="Arial"/>
          <w:color w:val="auto"/>
          <w:sz w:val="22"/>
          <w:szCs w:val="24"/>
        </w:rPr>
        <w:t>.</w:t>
      </w:r>
    </w:p>
    <w:p w:rsidR="00C62A9C" w:rsidRPr="00E44D9F" w:rsidRDefault="00C62A9C" w:rsidP="0005141D">
      <w:pPr>
        <w:autoSpaceDN w:val="0"/>
        <w:rPr>
          <w:rFonts w:ascii="Arial" w:eastAsia="Calibri" w:hAnsi="Arial" w:cs="Arial"/>
          <w:color w:val="auto"/>
          <w:sz w:val="22"/>
          <w:szCs w:val="24"/>
        </w:rPr>
      </w:pPr>
    </w:p>
    <w:p w:rsidR="00322B75" w:rsidRDefault="00322B75" w:rsidP="00C62A9C">
      <w:pPr>
        <w:autoSpaceDN w:val="0"/>
        <w:rPr>
          <w:rFonts w:ascii="Arial" w:eastAsia="Calibri" w:hAnsi="Arial" w:cs="Arial"/>
          <w:b/>
          <w:color w:val="auto"/>
          <w:sz w:val="22"/>
          <w:szCs w:val="24"/>
        </w:rPr>
      </w:pPr>
    </w:p>
    <w:p w:rsidR="00C62A9C" w:rsidRPr="008D7852" w:rsidRDefault="00C62A9C" w:rsidP="00C62A9C">
      <w:pPr>
        <w:autoSpaceDN w:val="0"/>
        <w:rPr>
          <w:rFonts w:ascii="Arial" w:eastAsia="Calibri" w:hAnsi="Arial" w:cs="Arial"/>
          <w:color w:val="auto"/>
          <w:sz w:val="22"/>
          <w:szCs w:val="24"/>
        </w:rPr>
      </w:pPr>
      <w:r w:rsidRPr="008D7852">
        <w:rPr>
          <w:rFonts w:ascii="Arial" w:eastAsia="Calibri" w:hAnsi="Arial" w:cs="Arial"/>
          <w:b/>
          <w:color w:val="auto"/>
          <w:sz w:val="22"/>
          <w:szCs w:val="24"/>
        </w:rPr>
        <w:t>Summary of General Recommendations</w:t>
      </w:r>
      <w:r w:rsidRPr="008D7852">
        <w:rPr>
          <w:rFonts w:ascii="Arial" w:eastAsia="Calibri" w:hAnsi="Arial" w:cs="Arial"/>
          <w:color w:val="auto"/>
          <w:sz w:val="22"/>
          <w:szCs w:val="24"/>
        </w:rPr>
        <w:t xml:space="preserve"> </w:t>
      </w:r>
    </w:p>
    <w:p w:rsidR="0005141D" w:rsidRPr="00E44D9F" w:rsidRDefault="0005141D" w:rsidP="0005141D">
      <w:pPr>
        <w:overflowPunct w:val="0"/>
        <w:autoSpaceDN w:val="0"/>
        <w:adjustRightInd w:val="0"/>
        <w:ind w:left="720"/>
        <w:rPr>
          <w:rFonts w:ascii="Arial" w:eastAsia="Calibri" w:hAnsi="Arial" w:cs="Arial"/>
          <w:color w:val="auto"/>
          <w:sz w:val="14"/>
        </w:rPr>
      </w:pPr>
    </w:p>
    <w:p w:rsidR="003F7642" w:rsidRDefault="003F7642" w:rsidP="003F7642">
      <w:pPr>
        <w:pStyle w:val="ListParagraph"/>
        <w:keepLines/>
        <w:numPr>
          <w:ilvl w:val="0"/>
          <w:numId w:val="1"/>
        </w:numPr>
        <w:tabs>
          <w:tab w:val="left" w:pos="900"/>
        </w:tabs>
        <w:rPr>
          <w:rFonts w:ascii="Arial" w:hAnsi="Arial" w:cs="Arial"/>
          <w:sz w:val="22"/>
          <w:szCs w:val="22"/>
        </w:rPr>
      </w:pPr>
      <w:r>
        <w:rPr>
          <w:rFonts w:ascii="Arial" w:hAnsi="Arial" w:cs="Arial"/>
          <w:sz w:val="22"/>
          <w:szCs w:val="22"/>
        </w:rPr>
        <w:t xml:space="preserve">Ensure each procedure, modality </w:t>
      </w:r>
      <w:r w:rsidR="006C7120">
        <w:rPr>
          <w:rFonts w:ascii="Arial" w:hAnsi="Arial" w:cs="Arial"/>
          <w:sz w:val="22"/>
          <w:szCs w:val="22"/>
        </w:rPr>
        <w:t>and</w:t>
      </w:r>
      <w:r>
        <w:rPr>
          <w:rFonts w:ascii="Arial" w:hAnsi="Arial" w:cs="Arial"/>
          <w:sz w:val="22"/>
          <w:szCs w:val="22"/>
        </w:rPr>
        <w:t xml:space="preserve"> good has a clear recommendation (“recommended” or “not recommended”)</w:t>
      </w:r>
    </w:p>
    <w:p w:rsidR="003F7642" w:rsidRPr="003F7642" w:rsidRDefault="003F7642" w:rsidP="003F7642">
      <w:pPr>
        <w:keepLines/>
        <w:tabs>
          <w:tab w:val="left" w:pos="900"/>
        </w:tabs>
        <w:rPr>
          <w:rFonts w:ascii="Arial" w:hAnsi="Arial" w:cs="Arial"/>
          <w:sz w:val="22"/>
          <w:szCs w:val="22"/>
        </w:rPr>
      </w:pPr>
    </w:p>
    <w:p w:rsidR="003F7642" w:rsidRDefault="003F7642" w:rsidP="003F7642">
      <w:pPr>
        <w:pStyle w:val="ListParagraph"/>
        <w:keepLines/>
        <w:numPr>
          <w:ilvl w:val="0"/>
          <w:numId w:val="1"/>
        </w:numPr>
        <w:tabs>
          <w:tab w:val="left" w:pos="900"/>
        </w:tabs>
        <w:rPr>
          <w:rFonts w:ascii="Arial" w:hAnsi="Arial" w:cs="Arial"/>
          <w:sz w:val="22"/>
          <w:szCs w:val="22"/>
        </w:rPr>
      </w:pPr>
      <w:r>
        <w:rPr>
          <w:rFonts w:ascii="Arial" w:hAnsi="Arial" w:cs="Arial"/>
          <w:sz w:val="22"/>
          <w:szCs w:val="22"/>
        </w:rPr>
        <w:t xml:space="preserve">Insert between the two columns of the Part 2 table a Recommendations column where each procedure, modality or topic is identified as “recommended” or “not recommended” and where </w:t>
      </w:r>
      <w:r w:rsidRPr="009D5A57">
        <w:rPr>
          <w:rFonts w:ascii="Arial" w:hAnsi="Arial" w:cs="Arial"/>
          <w:sz w:val="22"/>
          <w:szCs w:val="22"/>
        </w:rPr>
        <w:t xml:space="preserve">frequency, duration, intensity and appropriateness </w:t>
      </w:r>
      <w:r>
        <w:rPr>
          <w:rFonts w:ascii="Arial" w:hAnsi="Arial" w:cs="Arial"/>
          <w:sz w:val="22"/>
          <w:szCs w:val="22"/>
        </w:rPr>
        <w:t xml:space="preserve">(conditions) may be addressed </w:t>
      </w:r>
    </w:p>
    <w:p w:rsidR="003F7642" w:rsidRPr="003F7642" w:rsidRDefault="003F7642" w:rsidP="003F7642">
      <w:pPr>
        <w:keepLines/>
        <w:tabs>
          <w:tab w:val="left" w:pos="900"/>
        </w:tabs>
        <w:rPr>
          <w:rFonts w:ascii="Arial" w:hAnsi="Arial" w:cs="Arial"/>
          <w:sz w:val="22"/>
          <w:szCs w:val="22"/>
        </w:rPr>
      </w:pPr>
    </w:p>
    <w:p w:rsidR="003F7642" w:rsidRDefault="003F7642" w:rsidP="003F7642">
      <w:pPr>
        <w:pStyle w:val="ListParagraph"/>
        <w:keepLines/>
        <w:numPr>
          <w:ilvl w:val="0"/>
          <w:numId w:val="1"/>
        </w:numPr>
        <w:tabs>
          <w:tab w:val="left" w:pos="900"/>
        </w:tabs>
        <w:rPr>
          <w:rFonts w:ascii="Arial" w:hAnsi="Arial" w:cs="Arial"/>
          <w:sz w:val="22"/>
          <w:szCs w:val="22"/>
        </w:rPr>
      </w:pPr>
      <w:r>
        <w:rPr>
          <w:rFonts w:ascii="Arial" w:hAnsi="Arial" w:cs="Arial"/>
          <w:sz w:val="22"/>
          <w:szCs w:val="22"/>
        </w:rPr>
        <w:t xml:space="preserve">Retitle </w:t>
      </w:r>
      <w:r w:rsidR="00AC5206">
        <w:rPr>
          <w:rFonts w:ascii="Arial" w:hAnsi="Arial" w:cs="Arial"/>
          <w:sz w:val="22"/>
          <w:szCs w:val="22"/>
        </w:rPr>
        <w:t xml:space="preserve">the </w:t>
      </w:r>
      <w:r>
        <w:rPr>
          <w:rFonts w:ascii="Arial" w:hAnsi="Arial" w:cs="Arial"/>
          <w:sz w:val="22"/>
          <w:szCs w:val="22"/>
        </w:rPr>
        <w:t xml:space="preserve">last column “Supporting </w:t>
      </w:r>
      <w:r w:rsidR="005A3EC1">
        <w:rPr>
          <w:rFonts w:ascii="Arial" w:hAnsi="Arial" w:cs="Arial"/>
          <w:sz w:val="22"/>
          <w:szCs w:val="22"/>
        </w:rPr>
        <w:t>M</w:t>
      </w:r>
      <w:r>
        <w:rPr>
          <w:rFonts w:ascii="Arial" w:hAnsi="Arial" w:cs="Arial"/>
          <w:sz w:val="22"/>
          <w:szCs w:val="22"/>
        </w:rPr>
        <w:t xml:space="preserve">edical </w:t>
      </w:r>
      <w:r w:rsidR="005A3EC1">
        <w:rPr>
          <w:rFonts w:ascii="Arial" w:hAnsi="Arial" w:cs="Arial"/>
          <w:sz w:val="22"/>
          <w:szCs w:val="22"/>
        </w:rPr>
        <w:t>E</w:t>
      </w:r>
      <w:r>
        <w:rPr>
          <w:rFonts w:ascii="Arial" w:hAnsi="Arial" w:cs="Arial"/>
          <w:sz w:val="22"/>
          <w:szCs w:val="22"/>
        </w:rPr>
        <w:t xml:space="preserve">vidence,” and </w:t>
      </w:r>
      <w:r w:rsidR="00AC5206">
        <w:rPr>
          <w:rFonts w:ascii="Arial" w:hAnsi="Arial" w:cs="Arial"/>
          <w:sz w:val="22"/>
          <w:szCs w:val="22"/>
        </w:rPr>
        <w:t xml:space="preserve">in that column </w:t>
      </w:r>
      <w:r>
        <w:rPr>
          <w:rFonts w:ascii="Arial" w:hAnsi="Arial" w:cs="Arial"/>
          <w:sz w:val="22"/>
          <w:szCs w:val="22"/>
        </w:rPr>
        <w:t>provide  a link to each supporting study and its strength of evidence determined per section 9792.25.1, and remove irrelevant citations from the column</w:t>
      </w:r>
    </w:p>
    <w:p w:rsidR="003F7642" w:rsidRPr="003F7642" w:rsidRDefault="003F7642" w:rsidP="003F7642">
      <w:pPr>
        <w:keepLines/>
        <w:tabs>
          <w:tab w:val="left" w:pos="900"/>
        </w:tabs>
        <w:rPr>
          <w:rFonts w:ascii="Arial" w:hAnsi="Arial" w:cs="Arial"/>
          <w:sz w:val="22"/>
          <w:szCs w:val="22"/>
        </w:rPr>
      </w:pPr>
    </w:p>
    <w:p w:rsidR="003F7642" w:rsidRDefault="003F7642" w:rsidP="003F7642">
      <w:pPr>
        <w:pStyle w:val="ListParagraph"/>
        <w:keepLines/>
        <w:numPr>
          <w:ilvl w:val="0"/>
          <w:numId w:val="1"/>
        </w:numPr>
        <w:tabs>
          <w:tab w:val="left" w:pos="900"/>
        </w:tabs>
        <w:rPr>
          <w:rFonts w:ascii="Arial" w:hAnsi="Arial" w:cs="Arial"/>
          <w:sz w:val="22"/>
          <w:szCs w:val="22"/>
        </w:rPr>
      </w:pPr>
      <w:r>
        <w:rPr>
          <w:rFonts w:ascii="Arial" w:hAnsi="Arial" w:cs="Arial"/>
          <w:sz w:val="22"/>
          <w:szCs w:val="22"/>
        </w:rPr>
        <w:t xml:space="preserve">Improve the formatting of the Part 2 table </w:t>
      </w:r>
      <w:r w:rsidR="008747E2">
        <w:rPr>
          <w:rFonts w:ascii="Arial" w:hAnsi="Arial" w:cs="Arial"/>
          <w:sz w:val="22"/>
          <w:szCs w:val="22"/>
        </w:rPr>
        <w:t xml:space="preserve">by providing </w:t>
      </w:r>
      <w:r>
        <w:rPr>
          <w:rFonts w:ascii="Arial" w:hAnsi="Arial" w:cs="Arial"/>
          <w:sz w:val="22"/>
          <w:szCs w:val="22"/>
        </w:rPr>
        <w:t>clearer subsection headings, spacing between subsections, and by</w:t>
      </w:r>
      <w:r w:rsidR="006C7120">
        <w:rPr>
          <w:rFonts w:ascii="Arial" w:hAnsi="Arial" w:cs="Arial"/>
          <w:sz w:val="22"/>
          <w:szCs w:val="22"/>
        </w:rPr>
        <w:t xml:space="preserve"> removing duplicate subheadings</w:t>
      </w:r>
    </w:p>
    <w:p w:rsidR="006C7120" w:rsidRPr="006C7120" w:rsidRDefault="006C7120" w:rsidP="006C7120">
      <w:pPr>
        <w:keepLines/>
        <w:tabs>
          <w:tab w:val="left" w:pos="900"/>
        </w:tabs>
        <w:rPr>
          <w:rFonts w:ascii="Arial" w:hAnsi="Arial" w:cs="Arial"/>
          <w:sz w:val="22"/>
          <w:szCs w:val="22"/>
        </w:rPr>
      </w:pPr>
    </w:p>
    <w:p w:rsidR="003F7642" w:rsidRDefault="008920D6" w:rsidP="003F7642">
      <w:pPr>
        <w:pStyle w:val="ListParagraph"/>
        <w:keepLines/>
        <w:numPr>
          <w:ilvl w:val="0"/>
          <w:numId w:val="1"/>
        </w:numPr>
        <w:tabs>
          <w:tab w:val="left" w:pos="900"/>
        </w:tabs>
        <w:rPr>
          <w:rFonts w:ascii="Arial" w:hAnsi="Arial" w:cs="Arial"/>
          <w:sz w:val="22"/>
          <w:szCs w:val="22"/>
        </w:rPr>
      </w:pPr>
      <w:r w:rsidRPr="00022C9B">
        <w:rPr>
          <w:rFonts w:ascii="Arial" w:hAnsi="Arial" w:cs="Arial"/>
          <w:sz w:val="22"/>
          <w:szCs w:val="22"/>
        </w:rPr>
        <w:t>Replace verbiage that conflicts with the definition of chronic pain in section 9792.20 with verbiage that conforms to that definition</w:t>
      </w:r>
    </w:p>
    <w:p w:rsidR="00022C9B" w:rsidRPr="00022C9B" w:rsidRDefault="00022C9B" w:rsidP="00022C9B">
      <w:pPr>
        <w:keepLines/>
        <w:tabs>
          <w:tab w:val="left" w:pos="900"/>
        </w:tabs>
        <w:rPr>
          <w:rFonts w:ascii="Arial" w:hAnsi="Arial" w:cs="Arial"/>
          <w:sz w:val="22"/>
          <w:szCs w:val="22"/>
        </w:rPr>
      </w:pPr>
    </w:p>
    <w:p w:rsidR="008920D6" w:rsidRDefault="008920D6" w:rsidP="008920D6">
      <w:pPr>
        <w:pStyle w:val="ListParagraph"/>
        <w:keepLines/>
        <w:numPr>
          <w:ilvl w:val="0"/>
          <w:numId w:val="1"/>
        </w:numPr>
        <w:tabs>
          <w:tab w:val="left" w:pos="900"/>
        </w:tabs>
        <w:rPr>
          <w:rFonts w:ascii="Arial" w:hAnsi="Arial" w:cs="Arial"/>
          <w:sz w:val="22"/>
          <w:szCs w:val="22"/>
        </w:rPr>
      </w:pPr>
      <w:r>
        <w:rPr>
          <w:rFonts w:ascii="Arial" w:hAnsi="Arial" w:cs="Arial"/>
          <w:sz w:val="22"/>
          <w:szCs w:val="22"/>
        </w:rPr>
        <w:t>Delete from this MTUS chapter recommendations for treatment of non-chronic pain, including recommendations for acute pain, sub-acute pain and initial treatment</w:t>
      </w:r>
    </w:p>
    <w:p w:rsidR="008920D6" w:rsidRDefault="008920D6" w:rsidP="008920D6">
      <w:pPr>
        <w:pStyle w:val="ListParagraph"/>
        <w:keepLines/>
        <w:numPr>
          <w:ilvl w:val="0"/>
          <w:numId w:val="1"/>
        </w:numPr>
        <w:tabs>
          <w:tab w:val="left" w:pos="900"/>
        </w:tabs>
        <w:rPr>
          <w:rFonts w:ascii="Arial" w:hAnsi="Arial" w:cs="Arial"/>
          <w:sz w:val="22"/>
          <w:szCs w:val="22"/>
        </w:rPr>
      </w:pPr>
      <w:r>
        <w:rPr>
          <w:rFonts w:ascii="Arial" w:hAnsi="Arial" w:cs="Arial"/>
          <w:sz w:val="22"/>
          <w:szCs w:val="22"/>
        </w:rPr>
        <w:lastRenderedPageBreak/>
        <w:t>Retitle part 2 of the MTUS Chronic Pain Medical Treatment Guidelines “Chronic Pain Medical Treatment Guidelines” to avoid confusion with ODG’s own guidelines</w:t>
      </w:r>
    </w:p>
    <w:p w:rsidR="003F7642" w:rsidRPr="003F7642" w:rsidRDefault="003F7642" w:rsidP="003F7642">
      <w:pPr>
        <w:keepLines/>
        <w:tabs>
          <w:tab w:val="left" w:pos="900"/>
        </w:tabs>
        <w:rPr>
          <w:rFonts w:ascii="Arial" w:hAnsi="Arial" w:cs="Arial"/>
          <w:sz w:val="22"/>
          <w:szCs w:val="22"/>
        </w:rPr>
      </w:pPr>
    </w:p>
    <w:p w:rsidR="007C77E5" w:rsidRDefault="007C77E5" w:rsidP="0093469F">
      <w:pPr>
        <w:keepLines/>
        <w:tabs>
          <w:tab w:val="left" w:pos="900"/>
        </w:tabs>
        <w:rPr>
          <w:rFonts w:ascii="Arial" w:hAnsi="Arial" w:cs="Arial"/>
          <w:b/>
          <w:sz w:val="22"/>
          <w:szCs w:val="22"/>
        </w:rPr>
      </w:pPr>
    </w:p>
    <w:p w:rsidR="008E4369" w:rsidRPr="008D7852" w:rsidRDefault="00C364EF" w:rsidP="0093469F">
      <w:pPr>
        <w:keepLines/>
        <w:tabs>
          <w:tab w:val="left" w:pos="900"/>
        </w:tabs>
        <w:rPr>
          <w:rFonts w:ascii="Arial" w:hAnsi="Arial" w:cs="Arial"/>
          <w:b/>
          <w:sz w:val="22"/>
          <w:szCs w:val="22"/>
        </w:rPr>
      </w:pPr>
      <w:r w:rsidRPr="008D7852">
        <w:rPr>
          <w:rFonts w:ascii="Arial" w:hAnsi="Arial" w:cs="Arial"/>
          <w:b/>
          <w:sz w:val="22"/>
          <w:szCs w:val="22"/>
        </w:rPr>
        <w:t>General</w:t>
      </w:r>
      <w:r w:rsidR="0093469F" w:rsidRPr="008D7852">
        <w:rPr>
          <w:rFonts w:ascii="Arial" w:hAnsi="Arial" w:cs="Arial"/>
          <w:b/>
          <w:sz w:val="22"/>
          <w:szCs w:val="22"/>
        </w:rPr>
        <w:t xml:space="preserve"> recommendations</w:t>
      </w:r>
    </w:p>
    <w:p w:rsidR="007C77E5" w:rsidRDefault="007C77E5" w:rsidP="0093469F">
      <w:pPr>
        <w:keepLines/>
        <w:tabs>
          <w:tab w:val="left" w:pos="900"/>
        </w:tabs>
        <w:rPr>
          <w:rFonts w:ascii="Arial" w:hAnsi="Arial" w:cs="Arial"/>
          <w:b/>
          <w:sz w:val="22"/>
          <w:szCs w:val="22"/>
        </w:rPr>
      </w:pPr>
    </w:p>
    <w:p w:rsidR="0093469F" w:rsidRDefault="008E4369" w:rsidP="0093469F">
      <w:pPr>
        <w:keepLines/>
        <w:tabs>
          <w:tab w:val="left" w:pos="900"/>
        </w:tabs>
        <w:rPr>
          <w:rFonts w:ascii="Arial" w:hAnsi="Arial" w:cs="Arial"/>
          <w:b/>
          <w:sz w:val="22"/>
          <w:szCs w:val="22"/>
        </w:rPr>
      </w:pPr>
      <w:r>
        <w:rPr>
          <w:rFonts w:ascii="Arial" w:hAnsi="Arial" w:cs="Arial"/>
          <w:b/>
          <w:sz w:val="22"/>
          <w:szCs w:val="22"/>
        </w:rPr>
        <w:t>Recommendation</w:t>
      </w:r>
      <w:r w:rsidR="0093469F">
        <w:rPr>
          <w:rFonts w:ascii="Arial" w:hAnsi="Arial" w:cs="Arial"/>
          <w:b/>
          <w:sz w:val="22"/>
          <w:szCs w:val="22"/>
        </w:rPr>
        <w:t xml:space="preserve"> </w:t>
      </w:r>
    </w:p>
    <w:p w:rsidR="006C7120" w:rsidRPr="008E4369" w:rsidRDefault="006C7120" w:rsidP="00B2735B">
      <w:pPr>
        <w:keepLines/>
        <w:tabs>
          <w:tab w:val="left" w:pos="900"/>
        </w:tabs>
        <w:rPr>
          <w:rFonts w:ascii="Arial" w:hAnsi="Arial" w:cs="Arial"/>
          <w:sz w:val="22"/>
          <w:szCs w:val="22"/>
        </w:rPr>
      </w:pPr>
      <w:r w:rsidRPr="008E4369">
        <w:rPr>
          <w:rFonts w:ascii="Arial" w:hAnsi="Arial" w:cs="Arial"/>
          <w:sz w:val="22"/>
          <w:szCs w:val="22"/>
        </w:rPr>
        <w:t>Ensure each procedure, modality and good has a clear recommendation (“recommended” or “not recommended”)</w:t>
      </w:r>
      <w:r w:rsidR="00F327AF" w:rsidRPr="008E4369">
        <w:rPr>
          <w:rFonts w:ascii="Arial" w:hAnsi="Arial" w:cs="Arial"/>
          <w:sz w:val="22"/>
          <w:szCs w:val="22"/>
        </w:rPr>
        <w:t>.</w:t>
      </w:r>
    </w:p>
    <w:p w:rsidR="006C7120" w:rsidRDefault="006C7120" w:rsidP="00B2735B">
      <w:pPr>
        <w:keepLines/>
        <w:tabs>
          <w:tab w:val="left" w:pos="900"/>
        </w:tabs>
        <w:rPr>
          <w:rFonts w:ascii="Arial" w:hAnsi="Arial" w:cs="Arial"/>
          <w:sz w:val="22"/>
          <w:szCs w:val="22"/>
        </w:rPr>
      </w:pPr>
    </w:p>
    <w:p w:rsidR="00B2735B" w:rsidRDefault="00B2735B" w:rsidP="00B2735B">
      <w:pPr>
        <w:keepLines/>
        <w:tabs>
          <w:tab w:val="left" w:pos="900"/>
        </w:tabs>
        <w:rPr>
          <w:rFonts w:ascii="Arial" w:hAnsi="Arial" w:cs="Arial"/>
          <w:sz w:val="22"/>
          <w:szCs w:val="22"/>
        </w:rPr>
      </w:pPr>
      <w:r>
        <w:rPr>
          <w:rFonts w:ascii="Arial" w:hAnsi="Arial" w:cs="Arial"/>
          <w:b/>
          <w:sz w:val="22"/>
          <w:szCs w:val="22"/>
        </w:rPr>
        <w:t>Discussion</w:t>
      </w:r>
    </w:p>
    <w:p w:rsidR="006C7120" w:rsidRPr="004F7426" w:rsidRDefault="006C7120" w:rsidP="00B2735B">
      <w:pPr>
        <w:autoSpaceDN w:val="0"/>
        <w:ind w:left="360"/>
        <w:rPr>
          <w:rFonts w:ascii="Arial" w:eastAsia="Calibri" w:hAnsi="Arial" w:cs="Arial"/>
          <w:i/>
          <w:color w:val="auto"/>
          <w:sz w:val="22"/>
          <w:szCs w:val="24"/>
        </w:rPr>
      </w:pPr>
      <w:r w:rsidRPr="004F7426">
        <w:rPr>
          <w:rFonts w:ascii="Arial" w:eastAsia="Calibri" w:hAnsi="Arial" w:cs="Arial"/>
          <w:i/>
          <w:color w:val="auto"/>
          <w:sz w:val="22"/>
          <w:szCs w:val="24"/>
        </w:rPr>
        <w:t xml:space="preserve">Regulations that say a certain action “should” occur can be ignored with impunity, leaving physicians who </w:t>
      </w:r>
      <w:r>
        <w:rPr>
          <w:rFonts w:ascii="Arial" w:eastAsia="Calibri" w:hAnsi="Arial" w:cs="Arial"/>
          <w:i/>
          <w:color w:val="auto"/>
          <w:sz w:val="22"/>
          <w:szCs w:val="24"/>
        </w:rPr>
        <w:t>request or provide inappropriate treatment</w:t>
      </w:r>
      <w:r w:rsidRPr="004F7426">
        <w:rPr>
          <w:rFonts w:ascii="Arial" w:eastAsia="Calibri" w:hAnsi="Arial" w:cs="Arial"/>
          <w:i/>
          <w:color w:val="auto"/>
          <w:sz w:val="22"/>
          <w:szCs w:val="24"/>
        </w:rPr>
        <w:t xml:space="preserve"> free to continue doing so.  In the context of utilization review such regulatory language is useless because it c</w:t>
      </w:r>
      <w:r>
        <w:rPr>
          <w:rFonts w:ascii="Arial" w:eastAsia="Calibri" w:hAnsi="Arial" w:cs="Arial"/>
          <w:i/>
          <w:color w:val="auto"/>
          <w:sz w:val="22"/>
          <w:szCs w:val="24"/>
        </w:rPr>
        <w:t>annot be enforced.  To prevent inappropriate</w:t>
      </w:r>
      <w:r w:rsidRPr="004F7426">
        <w:rPr>
          <w:rFonts w:ascii="Arial" w:eastAsia="Calibri" w:hAnsi="Arial" w:cs="Arial"/>
          <w:i/>
          <w:color w:val="auto"/>
          <w:sz w:val="22"/>
          <w:szCs w:val="24"/>
        </w:rPr>
        <w:t xml:space="preserve"> </w:t>
      </w:r>
      <w:r>
        <w:rPr>
          <w:rFonts w:ascii="Arial" w:eastAsia="Calibri" w:hAnsi="Arial" w:cs="Arial"/>
          <w:i/>
          <w:color w:val="auto"/>
          <w:sz w:val="22"/>
          <w:szCs w:val="24"/>
        </w:rPr>
        <w:t>treatment</w:t>
      </w:r>
      <w:r w:rsidRPr="004F7426">
        <w:rPr>
          <w:rFonts w:ascii="Arial" w:eastAsia="Calibri" w:hAnsi="Arial" w:cs="Arial"/>
          <w:i/>
          <w:color w:val="auto"/>
          <w:sz w:val="22"/>
          <w:szCs w:val="24"/>
        </w:rPr>
        <w:t xml:space="preserve">, and assure </w:t>
      </w:r>
      <w:r>
        <w:rPr>
          <w:rFonts w:ascii="Arial" w:eastAsia="Calibri" w:hAnsi="Arial" w:cs="Arial"/>
          <w:i/>
          <w:color w:val="auto"/>
          <w:sz w:val="22"/>
          <w:szCs w:val="24"/>
        </w:rPr>
        <w:t>provision of effective treatment</w:t>
      </w:r>
      <w:r w:rsidRPr="004F7426">
        <w:rPr>
          <w:rFonts w:ascii="Arial" w:eastAsia="Calibri" w:hAnsi="Arial" w:cs="Arial"/>
          <w:i/>
          <w:color w:val="auto"/>
          <w:sz w:val="22"/>
          <w:szCs w:val="24"/>
        </w:rPr>
        <w:t xml:space="preserve">, the terms in </w:t>
      </w:r>
      <w:r>
        <w:rPr>
          <w:rFonts w:ascii="Arial" w:eastAsia="Calibri" w:hAnsi="Arial" w:cs="Arial"/>
          <w:i/>
          <w:color w:val="auto"/>
          <w:sz w:val="22"/>
          <w:szCs w:val="24"/>
        </w:rPr>
        <w:t>the</w:t>
      </w:r>
      <w:r w:rsidRPr="004F7426">
        <w:rPr>
          <w:rFonts w:ascii="Arial" w:eastAsia="Calibri" w:hAnsi="Arial" w:cs="Arial"/>
          <w:i/>
          <w:color w:val="auto"/>
          <w:sz w:val="22"/>
          <w:szCs w:val="24"/>
        </w:rPr>
        <w:t xml:space="preserve"> guidelines adopted in regulation need to be prescriptive rather than permissive.  The purpose of the Medical Treatment Utilization Guideline is not only to suggest good practices to practicing physicians; it determines standards that define what is reasonably required under Labor Code section 4600.  In utilization review and independent medical review it is the standard used to protect an injured employee from deleterious and unnecessary medical care and to ensure the provision of appropriate medical care.  “</w:t>
      </w:r>
      <w:proofErr w:type="spellStart"/>
      <w:r w:rsidRPr="004F7426">
        <w:rPr>
          <w:rFonts w:ascii="Arial" w:eastAsia="Calibri" w:hAnsi="Arial" w:cs="Arial"/>
          <w:i/>
          <w:color w:val="auto"/>
          <w:sz w:val="22"/>
          <w:szCs w:val="24"/>
        </w:rPr>
        <w:t>Shoulds</w:t>
      </w:r>
      <w:proofErr w:type="spellEnd"/>
      <w:r w:rsidRPr="004F7426">
        <w:rPr>
          <w:rFonts w:ascii="Arial" w:eastAsia="Calibri" w:hAnsi="Arial" w:cs="Arial"/>
          <w:i/>
          <w:color w:val="auto"/>
          <w:sz w:val="22"/>
          <w:szCs w:val="24"/>
        </w:rPr>
        <w:t xml:space="preserve">” and “should nots” impede those responsibilities.  </w:t>
      </w:r>
    </w:p>
    <w:p w:rsidR="006C7120" w:rsidRDefault="006C7120" w:rsidP="006C7120">
      <w:pPr>
        <w:keepLines/>
        <w:tabs>
          <w:tab w:val="left" w:pos="900"/>
        </w:tabs>
        <w:rPr>
          <w:rFonts w:ascii="Arial" w:hAnsi="Arial" w:cs="Arial"/>
          <w:sz w:val="22"/>
          <w:szCs w:val="22"/>
        </w:rPr>
      </w:pPr>
    </w:p>
    <w:p w:rsidR="006C7120" w:rsidRDefault="006C7120" w:rsidP="006C7120">
      <w:pPr>
        <w:keepLines/>
        <w:tabs>
          <w:tab w:val="left" w:pos="900"/>
        </w:tabs>
        <w:rPr>
          <w:rFonts w:ascii="Arial" w:hAnsi="Arial" w:cs="Arial"/>
          <w:sz w:val="22"/>
          <w:szCs w:val="22"/>
        </w:rPr>
      </w:pPr>
    </w:p>
    <w:p w:rsidR="00B2735B" w:rsidRDefault="00B2735B" w:rsidP="00B2735B">
      <w:pPr>
        <w:keepLines/>
        <w:tabs>
          <w:tab w:val="left" w:pos="900"/>
        </w:tabs>
        <w:rPr>
          <w:rFonts w:ascii="Arial" w:hAnsi="Arial" w:cs="Arial"/>
          <w:b/>
          <w:sz w:val="22"/>
          <w:szCs w:val="22"/>
        </w:rPr>
      </w:pPr>
      <w:r>
        <w:rPr>
          <w:rFonts w:ascii="Arial" w:hAnsi="Arial" w:cs="Arial"/>
          <w:b/>
          <w:sz w:val="22"/>
          <w:szCs w:val="22"/>
        </w:rPr>
        <w:t xml:space="preserve">Recommendation </w:t>
      </w:r>
    </w:p>
    <w:p w:rsidR="006C7120" w:rsidRPr="00B2735B" w:rsidRDefault="006C7120" w:rsidP="00B2735B">
      <w:pPr>
        <w:keepLines/>
        <w:tabs>
          <w:tab w:val="left" w:pos="900"/>
        </w:tabs>
        <w:rPr>
          <w:rFonts w:ascii="Arial" w:hAnsi="Arial" w:cs="Arial"/>
          <w:sz w:val="22"/>
          <w:szCs w:val="22"/>
        </w:rPr>
      </w:pPr>
      <w:r w:rsidRPr="00B2735B">
        <w:rPr>
          <w:rFonts w:ascii="Arial" w:hAnsi="Arial" w:cs="Arial"/>
          <w:sz w:val="22"/>
          <w:szCs w:val="22"/>
        </w:rPr>
        <w:t>Insert between the two columns of the Part 2 table a Recommendations column where each procedure, modality or topic is identified as “recommended” or “not recommended” and where frequency, duration, intensity and appropriateness (conditions) may be addressed</w:t>
      </w:r>
      <w:r w:rsidR="00F327AF" w:rsidRPr="00B2735B">
        <w:rPr>
          <w:rFonts w:ascii="Arial" w:hAnsi="Arial" w:cs="Arial"/>
          <w:sz w:val="22"/>
          <w:szCs w:val="22"/>
        </w:rPr>
        <w:t>.</w:t>
      </w:r>
      <w:r w:rsidRPr="00B2735B">
        <w:rPr>
          <w:rFonts w:ascii="Arial" w:hAnsi="Arial" w:cs="Arial"/>
          <w:sz w:val="22"/>
          <w:szCs w:val="22"/>
        </w:rPr>
        <w:t xml:space="preserve"> </w:t>
      </w:r>
    </w:p>
    <w:p w:rsidR="006C7120" w:rsidRDefault="006C7120" w:rsidP="00B2735B">
      <w:pPr>
        <w:keepLines/>
        <w:tabs>
          <w:tab w:val="left" w:pos="900"/>
        </w:tabs>
        <w:rPr>
          <w:rFonts w:ascii="Arial" w:hAnsi="Arial" w:cs="Arial"/>
          <w:sz w:val="22"/>
          <w:szCs w:val="22"/>
        </w:rPr>
      </w:pPr>
    </w:p>
    <w:p w:rsidR="00B2735B" w:rsidRDefault="00B2735B" w:rsidP="00B2735B">
      <w:pPr>
        <w:keepLines/>
        <w:tabs>
          <w:tab w:val="left" w:pos="900"/>
        </w:tabs>
        <w:rPr>
          <w:rFonts w:ascii="Arial" w:hAnsi="Arial" w:cs="Arial"/>
          <w:sz w:val="22"/>
          <w:szCs w:val="22"/>
        </w:rPr>
      </w:pPr>
      <w:r>
        <w:rPr>
          <w:rFonts w:ascii="Arial" w:hAnsi="Arial" w:cs="Arial"/>
          <w:b/>
          <w:sz w:val="22"/>
          <w:szCs w:val="22"/>
        </w:rPr>
        <w:t>Discussion</w:t>
      </w:r>
    </w:p>
    <w:p w:rsidR="006C7120" w:rsidRDefault="00473A6B" w:rsidP="00B2735B">
      <w:pPr>
        <w:keepLines/>
        <w:tabs>
          <w:tab w:val="left" w:pos="900"/>
        </w:tabs>
        <w:ind w:left="360"/>
        <w:rPr>
          <w:rFonts w:ascii="Arial" w:eastAsia="Calibri" w:hAnsi="Arial" w:cs="Arial"/>
          <w:i/>
          <w:color w:val="auto"/>
          <w:sz w:val="22"/>
          <w:szCs w:val="24"/>
        </w:rPr>
      </w:pPr>
      <w:r>
        <w:rPr>
          <w:rFonts w:ascii="Arial" w:eastAsia="Calibri" w:hAnsi="Arial" w:cs="Arial"/>
          <w:i/>
          <w:color w:val="auto"/>
          <w:sz w:val="22"/>
          <w:szCs w:val="24"/>
        </w:rPr>
        <w:t xml:space="preserve">Adding a column that will clearly indicate the recommendation status will </w:t>
      </w:r>
      <w:r w:rsidR="004912EC">
        <w:rPr>
          <w:rFonts w:ascii="Arial" w:eastAsia="Calibri" w:hAnsi="Arial" w:cs="Arial"/>
          <w:i/>
          <w:color w:val="auto"/>
          <w:sz w:val="22"/>
          <w:szCs w:val="24"/>
        </w:rPr>
        <w:t>ensure that injured employees receive effective and timely medical care</w:t>
      </w:r>
      <w:r w:rsidR="00DF4815">
        <w:rPr>
          <w:rFonts w:ascii="Arial" w:eastAsia="Calibri" w:hAnsi="Arial" w:cs="Arial"/>
          <w:i/>
          <w:color w:val="auto"/>
          <w:sz w:val="22"/>
          <w:szCs w:val="24"/>
        </w:rPr>
        <w:t>,</w:t>
      </w:r>
      <w:r w:rsidR="00D23E9E">
        <w:rPr>
          <w:rFonts w:ascii="Arial" w:eastAsia="Calibri" w:hAnsi="Arial" w:cs="Arial"/>
          <w:i/>
          <w:color w:val="auto"/>
          <w:sz w:val="22"/>
          <w:szCs w:val="24"/>
        </w:rPr>
        <w:t xml:space="preserve"> and are protected from untimely, </w:t>
      </w:r>
      <w:r w:rsidR="004912EC">
        <w:rPr>
          <w:rFonts w:ascii="Arial" w:eastAsia="Calibri" w:hAnsi="Arial" w:cs="Arial"/>
          <w:i/>
          <w:color w:val="auto"/>
          <w:sz w:val="22"/>
          <w:szCs w:val="24"/>
        </w:rPr>
        <w:t xml:space="preserve">harmful and unnecessary </w:t>
      </w:r>
      <w:r w:rsidR="00D23E9E">
        <w:rPr>
          <w:rFonts w:ascii="Arial" w:eastAsia="Calibri" w:hAnsi="Arial" w:cs="Arial"/>
          <w:i/>
          <w:color w:val="auto"/>
          <w:sz w:val="22"/>
          <w:szCs w:val="24"/>
        </w:rPr>
        <w:t>care.</w:t>
      </w:r>
      <w:r w:rsidR="00B001EE">
        <w:rPr>
          <w:rFonts w:ascii="Arial" w:eastAsia="Calibri" w:hAnsi="Arial" w:cs="Arial"/>
          <w:i/>
          <w:color w:val="auto"/>
          <w:sz w:val="22"/>
          <w:szCs w:val="24"/>
        </w:rPr>
        <w:t xml:space="preserve"> </w:t>
      </w:r>
      <w:r w:rsidR="00D23E9E">
        <w:rPr>
          <w:rFonts w:ascii="Arial" w:eastAsia="Calibri" w:hAnsi="Arial" w:cs="Arial"/>
          <w:i/>
          <w:color w:val="auto"/>
          <w:sz w:val="22"/>
          <w:szCs w:val="24"/>
        </w:rPr>
        <w:t xml:space="preserve"> </w:t>
      </w:r>
      <w:r w:rsidR="00B001EE">
        <w:rPr>
          <w:rFonts w:ascii="Arial" w:eastAsia="Calibri" w:hAnsi="Arial" w:cs="Arial"/>
          <w:i/>
          <w:color w:val="auto"/>
          <w:sz w:val="22"/>
          <w:szCs w:val="24"/>
        </w:rPr>
        <w:t>It will also</w:t>
      </w:r>
      <w:r w:rsidR="00DF4815">
        <w:rPr>
          <w:rFonts w:ascii="Arial" w:eastAsia="Calibri" w:hAnsi="Arial" w:cs="Arial"/>
          <w:i/>
          <w:color w:val="auto"/>
          <w:sz w:val="22"/>
          <w:szCs w:val="24"/>
        </w:rPr>
        <w:t xml:space="preserve"> </w:t>
      </w:r>
      <w:r>
        <w:rPr>
          <w:rFonts w:ascii="Arial" w:eastAsia="Calibri" w:hAnsi="Arial" w:cs="Arial"/>
          <w:i/>
          <w:color w:val="auto"/>
          <w:sz w:val="22"/>
          <w:szCs w:val="24"/>
        </w:rPr>
        <w:t>add certainty and reduce the confusion that generates so many disputes</w:t>
      </w:r>
      <w:r w:rsidR="00B001EE">
        <w:rPr>
          <w:rFonts w:ascii="Arial" w:eastAsia="Calibri" w:hAnsi="Arial" w:cs="Arial"/>
          <w:i/>
          <w:color w:val="auto"/>
          <w:sz w:val="22"/>
          <w:szCs w:val="24"/>
        </w:rPr>
        <w:t>, delays</w:t>
      </w:r>
      <w:r>
        <w:rPr>
          <w:rFonts w:ascii="Arial" w:eastAsia="Calibri" w:hAnsi="Arial" w:cs="Arial"/>
          <w:i/>
          <w:color w:val="auto"/>
          <w:sz w:val="22"/>
          <w:szCs w:val="24"/>
        </w:rPr>
        <w:t xml:space="preserve"> and attendant </w:t>
      </w:r>
      <w:r w:rsidR="004912EC">
        <w:rPr>
          <w:rFonts w:ascii="Arial" w:eastAsia="Calibri" w:hAnsi="Arial" w:cs="Arial"/>
          <w:i/>
          <w:color w:val="auto"/>
          <w:sz w:val="22"/>
          <w:szCs w:val="24"/>
        </w:rPr>
        <w:t>administrative and financial burdens.</w:t>
      </w:r>
    </w:p>
    <w:p w:rsidR="006C7120" w:rsidRDefault="006C7120" w:rsidP="006C7120">
      <w:pPr>
        <w:keepLines/>
        <w:tabs>
          <w:tab w:val="left" w:pos="900"/>
        </w:tabs>
        <w:rPr>
          <w:rFonts w:ascii="Arial" w:hAnsi="Arial" w:cs="Arial"/>
          <w:sz w:val="22"/>
          <w:szCs w:val="22"/>
        </w:rPr>
      </w:pPr>
    </w:p>
    <w:p w:rsidR="00B84CE1" w:rsidRDefault="00B84CE1" w:rsidP="006C7120">
      <w:pPr>
        <w:keepLines/>
        <w:tabs>
          <w:tab w:val="left" w:pos="900"/>
        </w:tabs>
        <w:rPr>
          <w:rFonts w:ascii="Arial" w:hAnsi="Arial" w:cs="Arial"/>
          <w:sz w:val="22"/>
          <w:szCs w:val="22"/>
        </w:rPr>
      </w:pPr>
    </w:p>
    <w:p w:rsidR="006C7120" w:rsidRPr="00091894" w:rsidRDefault="00B84CE1" w:rsidP="006C7120">
      <w:pPr>
        <w:keepLines/>
        <w:tabs>
          <w:tab w:val="left" w:pos="900"/>
        </w:tabs>
        <w:rPr>
          <w:rFonts w:ascii="Arial" w:hAnsi="Arial" w:cs="Arial"/>
          <w:sz w:val="22"/>
          <w:szCs w:val="22"/>
        </w:rPr>
      </w:pPr>
      <w:r>
        <w:rPr>
          <w:rFonts w:ascii="Arial" w:hAnsi="Arial" w:cs="Arial"/>
          <w:b/>
          <w:sz w:val="22"/>
          <w:szCs w:val="22"/>
        </w:rPr>
        <w:t>Recommendation</w:t>
      </w:r>
    </w:p>
    <w:p w:rsidR="006C7120" w:rsidRPr="00B84CE1" w:rsidRDefault="006C7120" w:rsidP="00B84CE1">
      <w:pPr>
        <w:keepLines/>
        <w:tabs>
          <w:tab w:val="left" w:pos="900"/>
        </w:tabs>
        <w:rPr>
          <w:rFonts w:ascii="Arial" w:hAnsi="Arial" w:cs="Arial"/>
          <w:sz w:val="22"/>
          <w:szCs w:val="22"/>
        </w:rPr>
      </w:pPr>
      <w:r w:rsidRPr="00B84CE1">
        <w:rPr>
          <w:rFonts w:ascii="Arial" w:hAnsi="Arial" w:cs="Arial"/>
          <w:sz w:val="22"/>
          <w:szCs w:val="22"/>
        </w:rPr>
        <w:t xml:space="preserve">Retitle </w:t>
      </w:r>
      <w:r w:rsidR="008747E2">
        <w:rPr>
          <w:rFonts w:ascii="Arial" w:hAnsi="Arial" w:cs="Arial"/>
          <w:sz w:val="22"/>
          <w:szCs w:val="22"/>
        </w:rPr>
        <w:t xml:space="preserve">the </w:t>
      </w:r>
      <w:r w:rsidRPr="00B84CE1">
        <w:rPr>
          <w:rFonts w:ascii="Arial" w:hAnsi="Arial" w:cs="Arial"/>
          <w:sz w:val="22"/>
          <w:szCs w:val="22"/>
        </w:rPr>
        <w:t xml:space="preserve">last column “Supporting </w:t>
      </w:r>
      <w:r w:rsidR="005A3EC1">
        <w:rPr>
          <w:rFonts w:ascii="Arial" w:hAnsi="Arial" w:cs="Arial"/>
          <w:sz w:val="22"/>
          <w:szCs w:val="22"/>
        </w:rPr>
        <w:t>M</w:t>
      </w:r>
      <w:r w:rsidRPr="00B84CE1">
        <w:rPr>
          <w:rFonts w:ascii="Arial" w:hAnsi="Arial" w:cs="Arial"/>
          <w:sz w:val="22"/>
          <w:szCs w:val="22"/>
        </w:rPr>
        <w:t xml:space="preserve">edical </w:t>
      </w:r>
      <w:r w:rsidR="005A3EC1">
        <w:rPr>
          <w:rFonts w:ascii="Arial" w:hAnsi="Arial" w:cs="Arial"/>
          <w:sz w:val="22"/>
          <w:szCs w:val="22"/>
        </w:rPr>
        <w:t>E</w:t>
      </w:r>
      <w:r w:rsidRPr="00B84CE1">
        <w:rPr>
          <w:rFonts w:ascii="Arial" w:hAnsi="Arial" w:cs="Arial"/>
          <w:sz w:val="22"/>
          <w:szCs w:val="22"/>
        </w:rPr>
        <w:t>vidence,” and provide there a</w:t>
      </w:r>
      <w:r w:rsidR="00F51335" w:rsidRPr="00B84CE1">
        <w:rPr>
          <w:rFonts w:ascii="Arial" w:hAnsi="Arial" w:cs="Arial"/>
          <w:sz w:val="22"/>
          <w:szCs w:val="22"/>
        </w:rPr>
        <w:t xml:space="preserve"> </w:t>
      </w:r>
      <w:r w:rsidRPr="00B84CE1">
        <w:rPr>
          <w:rFonts w:ascii="Arial" w:hAnsi="Arial" w:cs="Arial"/>
          <w:sz w:val="22"/>
          <w:szCs w:val="22"/>
        </w:rPr>
        <w:t>link to each supporting study</w:t>
      </w:r>
      <w:r w:rsidR="00F51335" w:rsidRPr="00B84CE1">
        <w:rPr>
          <w:rFonts w:ascii="Arial" w:hAnsi="Arial" w:cs="Arial"/>
          <w:sz w:val="22"/>
          <w:szCs w:val="22"/>
        </w:rPr>
        <w:t xml:space="preserve"> and any description or other related information</w:t>
      </w:r>
      <w:r w:rsidR="00B001EE" w:rsidRPr="00B84CE1">
        <w:rPr>
          <w:rFonts w:ascii="Arial" w:hAnsi="Arial" w:cs="Arial"/>
          <w:sz w:val="22"/>
          <w:szCs w:val="22"/>
        </w:rPr>
        <w:t>,</w:t>
      </w:r>
      <w:r w:rsidRPr="00B84CE1">
        <w:rPr>
          <w:rFonts w:ascii="Arial" w:hAnsi="Arial" w:cs="Arial"/>
          <w:sz w:val="22"/>
          <w:szCs w:val="22"/>
        </w:rPr>
        <w:t xml:space="preserve"> </w:t>
      </w:r>
      <w:r w:rsidR="00177A67" w:rsidRPr="00B84CE1">
        <w:rPr>
          <w:rFonts w:ascii="Arial" w:hAnsi="Arial" w:cs="Arial"/>
          <w:sz w:val="22"/>
          <w:szCs w:val="22"/>
        </w:rPr>
        <w:t>add the</w:t>
      </w:r>
      <w:r w:rsidRPr="00B84CE1">
        <w:rPr>
          <w:rFonts w:ascii="Arial" w:hAnsi="Arial" w:cs="Arial"/>
          <w:sz w:val="22"/>
          <w:szCs w:val="22"/>
        </w:rPr>
        <w:t xml:space="preserve"> strength of evidence </w:t>
      </w:r>
      <w:r w:rsidR="00177A67" w:rsidRPr="00B84CE1">
        <w:rPr>
          <w:rFonts w:ascii="Arial" w:hAnsi="Arial" w:cs="Arial"/>
          <w:sz w:val="22"/>
          <w:szCs w:val="22"/>
        </w:rPr>
        <w:t xml:space="preserve">for each supporting study as </w:t>
      </w:r>
      <w:r w:rsidRPr="00B84CE1">
        <w:rPr>
          <w:rFonts w:ascii="Arial" w:hAnsi="Arial" w:cs="Arial"/>
          <w:sz w:val="22"/>
          <w:szCs w:val="22"/>
        </w:rPr>
        <w:t>determined per section 9792.25.1, and remove irrelevant citations from the column</w:t>
      </w:r>
      <w:r w:rsidR="00F327AF" w:rsidRPr="00B84CE1">
        <w:rPr>
          <w:rFonts w:ascii="Arial" w:hAnsi="Arial" w:cs="Arial"/>
          <w:sz w:val="22"/>
          <w:szCs w:val="22"/>
        </w:rPr>
        <w:t>.</w:t>
      </w:r>
    </w:p>
    <w:p w:rsidR="00322B75" w:rsidRDefault="00322B75" w:rsidP="00B84CE1">
      <w:pPr>
        <w:keepLines/>
        <w:tabs>
          <w:tab w:val="left" w:pos="900"/>
        </w:tabs>
        <w:rPr>
          <w:rFonts w:ascii="Arial" w:hAnsi="Arial" w:cs="Arial"/>
          <w:sz w:val="22"/>
          <w:szCs w:val="22"/>
        </w:rPr>
      </w:pPr>
    </w:p>
    <w:p w:rsidR="00B84CE1" w:rsidRDefault="00B84CE1" w:rsidP="00B84CE1">
      <w:pPr>
        <w:keepLines/>
        <w:tabs>
          <w:tab w:val="left" w:pos="900"/>
        </w:tabs>
        <w:rPr>
          <w:rFonts w:ascii="Arial" w:hAnsi="Arial" w:cs="Arial"/>
          <w:sz w:val="22"/>
          <w:szCs w:val="22"/>
        </w:rPr>
      </w:pPr>
      <w:r>
        <w:rPr>
          <w:rFonts w:ascii="Arial" w:hAnsi="Arial" w:cs="Arial"/>
          <w:b/>
          <w:sz w:val="22"/>
          <w:szCs w:val="22"/>
        </w:rPr>
        <w:t>Discussion</w:t>
      </w:r>
    </w:p>
    <w:p w:rsidR="00B34544" w:rsidRDefault="00F51335" w:rsidP="00B84CE1">
      <w:pPr>
        <w:keepLines/>
        <w:tabs>
          <w:tab w:val="left" w:pos="900"/>
        </w:tabs>
        <w:ind w:left="360"/>
        <w:rPr>
          <w:rFonts w:ascii="Arial" w:eastAsia="Calibri" w:hAnsi="Arial" w:cs="Arial"/>
          <w:i/>
          <w:color w:val="auto"/>
          <w:sz w:val="22"/>
          <w:szCs w:val="24"/>
        </w:rPr>
      </w:pPr>
      <w:r>
        <w:rPr>
          <w:rFonts w:ascii="Arial" w:eastAsia="Calibri" w:hAnsi="Arial" w:cs="Arial"/>
          <w:i/>
          <w:color w:val="auto"/>
          <w:sz w:val="22"/>
          <w:szCs w:val="24"/>
        </w:rPr>
        <w:t>Separating supporting studies and information fro</w:t>
      </w:r>
      <w:r w:rsidR="0096396C">
        <w:rPr>
          <w:rFonts w:ascii="Arial" w:eastAsia="Calibri" w:hAnsi="Arial" w:cs="Arial"/>
          <w:i/>
          <w:color w:val="auto"/>
          <w:sz w:val="22"/>
          <w:szCs w:val="24"/>
        </w:rPr>
        <w:t xml:space="preserve">m the MTUS recommendation will improve the quality of medical care for injured employees and add clarity as described in the preceding recommendation.  </w:t>
      </w:r>
    </w:p>
    <w:p w:rsidR="00AD2EC6" w:rsidRPr="00AD2EC6" w:rsidRDefault="00F33B67" w:rsidP="00B84CE1">
      <w:pPr>
        <w:keepLines/>
        <w:tabs>
          <w:tab w:val="left" w:pos="900"/>
        </w:tabs>
        <w:ind w:left="360"/>
        <w:rPr>
          <w:rFonts w:ascii="Arial" w:eastAsia="Calibri" w:hAnsi="Arial" w:cs="Arial"/>
          <w:i/>
          <w:color w:val="auto"/>
          <w:sz w:val="22"/>
          <w:szCs w:val="24"/>
        </w:rPr>
      </w:pPr>
      <w:r>
        <w:rPr>
          <w:rFonts w:ascii="Arial" w:eastAsia="Calibri" w:hAnsi="Arial" w:cs="Arial"/>
          <w:i/>
          <w:color w:val="auto"/>
          <w:sz w:val="22"/>
          <w:szCs w:val="24"/>
        </w:rPr>
        <w:lastRenderedPageBreak/>
        <w:t>A</w:t>
      </w:r>
      <w:r w:rsidR="0096396C">
        <w:rPr>
          <w:rFonts w:ascii="Arial" w:eastAsia="Calibri" w:hAnsi="Arial" w:cs="Arial"/>
          <w:i/>
          <w:color w:val="auto"/>
          <w:sz w:val="22"/>
          <w:szCs w:val="24"/>
        </w:rPr>
        <w:t xml:space="preserve">dding the strength of evidence rating </w:t>
      </w:r>
      <w:r w:rsidR="007E00E8">
        <w:rPr>
          <w:rFonts w:ascii="Arial" w:eastAsia="Calibri" w:hAnsi="Arial" w:cs="Arial"/>
          <w:i/>
          <w:color w:val="auto"/>
          <w:sz w:val="22"/>
          <w:szCs w:val="24"/>
        </w:rPr>
        <w:t xml:space="preserve">will conform to </w:t>
      </w:r>
      <w:r w:rsidR="00C703CF">
        <w:rPr>
          <w:rFonts w:ascii="Arial" w:eastAsia="Calibri" w:hAnsi="Arial" w:cs="Arial"/>
          <w:i/>
          <w:color w:val="auto"/>
          <w:sz w:val="22"/>
          <w:szCs w:val="24"/>
        </w:rPr>
        <w:t xml:space="preserve">the standards and methodology in section 9792.25.1 for evaluating the quality of the evidence supporting the recommendations.  </w:t>
      </w:r>
      <w:r w:rsidR="00AD2EC6" w:rsidRPr="00AD2EC6">
        <w:rPr>
          <w:rFonts w:ascii="Arial" w:eastAsia="Calibri" w:hAnsi="Arial" w:cs="Arial"/>
          <w:i/>
          <w:color w:val="auto"/>
          <w:sz w:val="22"/>
          <w:szCs w:val="24"/>
        </w:rPr>
        <w:t>It is necessary to indicate the strength of evidence/consensus pursuant to section 9792.25.1 for each so that the strength of alternative evidence can be properly compared.  This is necessary when a physician challenges the presumption of correctness pursuant to sections 9792.21(d)(2) and 9792.21.1(a)(2)(C)</w:t>
      </w:r>
      <w:r w:rsidR="005A3EC1">
        <w:rPr>
          <w:rFonts w:ascii="Arial" w:eastAsia="Calibri" w:hAnsi="Arial" w:cs="Arial"/>
          <w:i/>
          <w:color w:val="auto"/>
          <w:sz w:val="22"/>
          <w:szCs w:val="24"/>
        </w:rPr>
        <w:t>,</w:t>
      </w:r>
      <w:r w:rsidR="00AD2EC6" w:rsidRPr="00AD2EC6">
        <w:rPr>
          <w:rFonts w:ascii="Arial" w:eastAsia="Calibri" w:hAnsi="Arial" w:cs="Arial"/>
          <w:i/>
          <w:color w:val="auto"/>
          <w:sz w:val="22"/>
          <w:szCs w:val="24"/>
        </w:rPr>
        <w:t xml:space="preserve"> and when reviewing physicians must determine the level of the evidence cited by the physician pursuant to section 9792.25.1(a)(4) and compare it with the level of the evidence that underlies the MTUS recommendation.  </w:t>
      </w:r>
    </w:p>
    <w:p w:rsidR="00AD2EC6" w:rsidRPr="00AD2EC6" w:rsidRDefault="00AD2EC6" w:rsidP="00B84CE1">
      <w:pPr>
        <w:keepLines/>
        <w:tabs>
          <w:tab w:val="left" w:pos="900"/>
        </w:tabs>
        <w:ind w:left="360"/>
        <w:rPr>
          <w:rFonts w:ascii="Arial" w:eastAsia="Calibri" w:hAnsi="Arial" w:cs="Arial"/>
          <w:i/>
          <w:color w:val="auto"/>
          <w:sz w:val="22"/>
          <w:szCs w:val="24"/>
        </w:rPr>
      </w:pPr>
    </w:p>
    <w:p w:rsidR="00AD2EC6" w:rsidRDefault="00AD2EC6" w:rsidP="00B84CE1">
      <w:pPr>
        <w:keepLines/>
        <w:tabs>
          <w:tab w:val="left" w:pos="900"/>
        </w:tabs>
        <w:ind w:left="360"/>
        <w:rPr>
          <w:rFonts w:ascii="Arial" w:eastAsia="Calibri" w:hAnsi="Arial" w:cs="Arial"/>
          <w:i/>
          <w:color w:val="auto"/>
          <w:sz w:val="22"/>
          <w:szCs w:val="24"/>
        </w:rPr>
      </w:pPr>
      <w:r w:rsidRPr="00AD2EC6">
        <w:rPr>
          <w:rFonts w:ascii="Arial" w:eastAsia="Calibri" w:hAnsi="Arial" w:cs="Arial"/>
          <w:i/>
          <w:color w:val="auto"/>
          <w:sz w:val="22"/>
          <w:szCs w:val="24"/>
        </w:rPr>
        <w:t xml:space="preserve">If the quality and strength of evidence/consensus pursuant to section 9792.25.1 is not provided for each recommendation, </w:t>
      </w:r>
      <w:r w:rsidR="005A3EC1">
        <w:rPr>
          <w:rFonts w:ascii="Arial" w:eastAsia="Calibri" w:hAnsi="Arial" w:cs="Arial"/>
          <w:i/>
          <w:color w:val="auto"/>
          <w:sz w:val="22"/>
          <w:szCs w:val="24"/>
        </w:rPr>
        <w:t xml:space="preserve">both the </w:t>
      </w:r>
      <w:r w:rsidRPr="00AD2EC6">
        <w:rPr>
          <w:rFonts w:ascii="Arial" w:eastAsia="Calibri" w:hAnsi="Arial" w:cs="Arial"/>
          <w:i/>
          <w:color w:val="auto"/>
          <w:sz w:val="22"/>
          <w:szCs w:val="24"/>
        </w:rPr>
        <w:t>UR and IMR physicians must identify and asses</w:t>
      </w:r>
      <w:r w:rsidR="005A3EC1">
        <w:rPr>
          <w:rFonts w:ascii="Arial" w:eastAsia="Calibri" w:hAnsi="Arial" w:cs="Arial"/>
          <w:i/>
          <w:color w:val="auto"/>
          <w:sz w:val="22"/>
          <w:szCs w:val="24"/>
        </w:rPr>
        <w:t>s</w:t>
      </w:r>
      <w:r w:rsidRPr="00AD2EC6">
        <w:rPr>
          <w:rFonts w:ascii="Arial" w:eastAsia="Calibri" w:hAnsi="Arial" w:cs="Arial"/>
          <w:i/>
          <w:color w:val="auto"/>
          <w:sz w:val="22"/>
          <w:szCs w:val="24"/>
        </w:rPr>
        <w:t xml:space="preserve"> the underlying medical evidence pursuant to 9792.25.1(a)(4)</w:t>
      </w:r>
      <w:r w:rsidR="005A3EC1">
        <w:rPr>
          <w:rFonts w:ascii="Arial" w:eastAsia="Calibri" w:hAnsi="Arial" w:cs="Arial"/>
          <w:i/>
          <w:color w:val="auto"/>
          <w:sz w:val="22"/>
          <w:szCs w:val="24"/>
        </w:rPr>
        <w:t xml:space="preserve">, </w:t>
      </w:r>
      <w:r w:rsidRPr="00AD2EC6">
        <w:rPr>
          <w:rFonts w:ascii="Arial" w:eastAsia="Calibri" w:hAnsi="Arial" w:cs="Arial"/>
          <w:i/>
          <w:color w:val="auto"/>
          <w:sz w:val="22"/>
          <w:szCs w:val="24"/>
        </w:rPr>
        <w:t>creat</w:t>
      </w:r>
      <w:r w:rsidR="005A3EC1">
        <w:rPr>
          <w:rFonts w:ascii="Arial" w:eastAsia="Calibri" w:hAnsi="Arial" w:cs="Arial"/>
          <w:i/>
          <w:color w:val="auto"/>
          <w:sz w:val="22"/>
          <w:szCs w:val="24"/>
        </w:rPr>
        <w:t>ing</w:t>
      </w:r>
      <w:r w:rsidRPr="00AD2EC6">
        <w:rPr>
          <w:rFonts w:ascii="Arial" w:eastAsia="Calibri" w:hAnsi="Arial" w:cs="Arial"/>
          <w:i/>
          <w:color w:val="auto"/>
          <w:sz w:val="22"/>
          <w:szCs w:val="24"/>
        </w:rPr>
        <w:t xml:space="preserve"> an unnecessary additional burden and uncertainty.  </w:t>
      </w:r>
    </w:p>
    <w:p w:rsidR="00F55C58" w:rsidRDefault="00F55C58" w:rsidP="00B84CE1">
      <w:pPr>
        <w:keepLines/>
        <w:tabs>
          <w:tab w:val="left" w:pos="900"/>
        </w:tabs>
        <w:ind w:left="360"/>
        <w:rPr>
          <w:rFonts w:ascii="Arial" w:eastAsia="Calibri" w:hAnsi="Arial" w:cs="Arial"/>
          <w:i/>
          <w:color w:val="auto"/>
          <w:sz w:val="22"/>
          <w:szCs w:val="24"/>
        </w:rPr>
      </w:pPr>
    </w:p>
    <w:p w:rsidR="00F55C58" w:rsidRPr="00AD2EC6" w:rsidRDefault="00F55C58" w:rsidP="00B84CE1">
      <w:pPr>
        <w:keepLines/>
        <w:tabs>
          <w:tab w:val="left" w:pos="900"/>
        </w:tabs>
        <w:ind w:left="360"/>
        <w:rPr>
          <w:rFonts w:ascii="Arial" w:eastAsia="Calibri" w:hAnsi="Arial" w:cs="Arial"/>
          <w:i/>
          <w:color w:val="auto"/>
          <w:sz w:val="22"/>
          <w:szCs w:val="24"/>
        </w:rPr>
      </w:pPr>
      <w:r>
        <w:rPr>
          <w:rFonts w:ascii="Arial" w:eastAsia="Calibri" w:hAnsi="Arial" w:cs="Arial"/>
          <w:i/>
          <w:color w:val="auto"/>
          <w:sz w:val="22"/>
          <w:szCs w:val="24"/>
        </w:rPr>
        <w:t xml:space="preserve">Some citations </w:t>
      </w:r>
      <w:r w:rsidR="00842B9C">
        <w:rPr>
          <w:rFonts w:ascii="Arial" w:eastAsia="Calibri" w:hAnsi="Arial" w:cs="Arial"/>
          <w:i/>
          <w:color w:val="auto"/>
          <w:sz w:val="22"/>
          <w:szCs w:val="24"/>
        </w:rPr>
        <w:t>that appear in the guidelines table are irrelevant and unnecessary</w:t>
      </w:r>
      <w:r w:rsidR="005A3EC1">
        <w:rPr>
          <w:rFonts w:ascii="Arial" w:eastAsia="Calibri" w:hAnsi="Arial" w:cs="Arial"/>
          <w:i/>
          <w:color w:val="auto"/>
          <w:sz w:val="22"/>
          <w:szCs w:val="24"/>
        </w:rPr>
        <w:t xml:space="preserve">. These </w:t>
      </w:r>
      <w:r w:rsidR="00CD086E">
        <w:rPr>
          <w:rFonts w:ascii="Arial" w:eastAsia="Calibri" w:hAnsi="Arial" w:cs="Arial"/>
          <w:i/>
          <w:color w:val="auto"/>
          <w:sz w:val="22"/>
          <w:szCs w:val="24"/>
        </w:rPr>
        <w:t>should be removed</w:t>
      </w:r>
      <w:r w:rsidR="005A3EC1">
        <w:rPr>
          <w:rFonts w:ascii="Arial" w:eastAsia="Calibri" w:hAnsi="Arial" w:cs="Arial"/>
          <w:i/>
          <w:color w:val="auto"/>
          <w:sz w:val="22"/>
          <w:szCs w:val="24"/>
        </w:rPr>
        <w:t>,</w:t>
      </w:r>
      <w:r w:rsidR="00CD086E">
        <w:rPr>
          <w:rFonts w:ascii="Arial" w:eastAsia="Calibri" w:hAnsi="Arial" w:cs="Arial"/>
          <w:i/>
          <w:color w:val="auto"/>
          <w:sz w:val="22"/>
          <w:szCs w:val="24"/>
        </w:rPr>
        <w:t xml:space="preserve"> </w:t>
      </w:r>
      <w:r w:rsidR="00842B9C">
        <w:rPr>
          <w:rFonts w:ascii="Arial" w:eastAsia="Calibri" w:hAnsi="Arial" w:cs="Arial"/>
          <w:i/>
          <w:color w:val="auto"/>
          <w:sz w:val="22"/>
          <w:szCs w:val="24"/>
        </w:rPr>
        <w:t>as they do not appear to relate to a recommendation and/or do not appear to assist a physician in determining</w:t>
      </w:r>
      <w:r w:rsidR="00CD086E">
        <w:rPr>
          <w:rFonts w:ascii="Arial" w:eastAsia="Calibri" w:hAnsi="Arial" w:cs="Arial"/>
          <w:i/>
          <w:color w:val="auto"/>
          <w:sz w:val="22"/>
          <w:szCs w:val="24"/>
        </w:rPr>
        <w:t xml:space="preserve"> the most appropriate course</w:t>
      </w:r>
      <w:r w:rsidR="005A3EC1">
        <w:rPr>
          <w:rFonts w:ascii="Arial" w:eastAsia="Calibri" w:hAnsi="Arial" w:cs="Arial"/>
          <w:i/>
          <w:color w:val="auto"/>
          <w:sz w:val="22"/>
          <w:szCs w:val="24"/>
        </w:rPr>
        <w:t xml:space="preserve"> of treatment</w:t>
      </w:r>
      <w:r w:rsidR="00CD086E">
        <w:rPr>
          <w:rFonts w:ascii="Arial" w:eastAsia="Calibri" w:hAnsi="Arial" w:cs="Arial"/>
          <w:i/>
          <w:color w:val="auto"/>
          <w:sz w:val="22"/>
          <w:szCs w:val="24"/>
        </w:rPr>
        <w:t>.</w:t>
      </w:r>
      <w:r>
        <w:rPr>
          <w:rFonts w:ascii="Arial" w:eastAsia="Calibri" w:hAnsi="Arial" w:cs="Arial"/>
          <w:i/>
          <w:color w:val="auto"/>
          <w:sz w:val="22"/>
          <w:szCs w:val="24"/>
        </w:rPr>
        <w:t xml:space="preserve"> </w:t>
      </w:r>
    </w:p>
    <w:p w:rsidR="00EC4F3F" w:rsidRDefault="00C703CF" w:rsidP="00B84CE1">
      <w:pPr>
        <w:keepLines/>
        <w:tabs>
          <w:tab w:val="left" w:pos="900"/>
        </w:tabs>
        <w:ind w:left="360"/>
        <w:rPr>
          <w:rFonts w:ascii="Arial" w:eastAsia="Calibri" w:hAnsi="Arial" w:cs="Arial"/>
          <w:i/>
          <w:color w:val="auto"/>
          <w:sz w:val="22"/>
          <w:szCs w:val="24"/>
        </w:rPr>
      </w:pPr>
      <w:r>
        <w:rPr>
          <w:rFonts w:ascii="Arial" w:eastAsia="Calibri" w:hAnsi="Arial" w:cs="Arial"/>
          <w:i/>
          <w:color w:val="auto"/>
          <w:sz w:val="22"/>
          <w:szCs w:val="24"/>
        </w:rPr>
        <w:t xml:space="preserve">  </w:t>
      </w:r>
    </w:p>
    <w:p w:rsidR="00B84CE1" w:rsidRDefault="00B84CE1" w:rsidP="00B84CE1">
      <w:pPr>
        <w:keepLines/>
        <w:tabs>
          <w:tab w:val="left" w:pos="900"/>
        </w:tabs>
        <w:rPr>
          <w:rFonts w:ascii="Arial" w:hAnsi="Arial" w:cs="Arial"/>
          <w:b/>
          <w:sz w:val="22"/>
          <w:szCs w:val="22"/>
        </w:rPr>
      </w:pPr>
    </w:p>
    <w:p w:rsidR="00B84CE1" w:rsidRPr="00091894" w:rsidRDefault="00B84CE1" w:rsidP="00B84CE1">
      <w:pPr>
        <w:keepLines/>
        <w:tabs>
          <w:tab w:val="left" w:pos="900"/>
        </w:tabs>
        <w:rPr>
          <w:rFonts w:ascii="Arial" w:hAnsi="Arial" w:cs="Arial"/>
          <w:sz w:val="22"/>
          <w:szCs w:val="22"/>
        </w:rPr>
      </w:pPr>
      <w:r>
        <w:rPr>
          <w:rFonts w:ascii="Arial" w:hAnsi="Arial" w:cs="Arial"/>
          <w:b/>
          <w:sz w:val="22"/>
          <w:szCs w:val="22"/>
        </w:rPr>
        <w:t>Recommendation</w:t>
      </w:r>
    </w:p>
    <w:p w:rsidR="006C7120" w:rsidRPr="00B84CE1" w:rsidRDefault="006C7120" w:rsidP="00B84CE1">
      <w:pPr>
        <w:keepLines/>
        <w:tabs>
          <w:tab w:val="left" w:pos="900"/>
        </w:tabs>
        <w:rPr>
          <w:rFonts w:ascii="Arial" w:hAnsi="Arial" w:cs="Arial"/>
          <w:sz w:val="22"/>
          <w:szCs w:val="22"/>
        </w:rPr>
      </w:pPr>
      <w:r w:rsidRPr="00B84CE1">
        <w:rPr>
          <w:rFonts w:ascii="Arial" w:hAnsi="Arial" w:cs="Arial"/>
          <w:sz w:val="22"/>
          <w:szCs w:val="22"/>
        </w:rPr>
        <w:t>Improve the formatting of the Part 2 table with clearer subsection headings, spacing between subsections, and by removing duplicate subheadings.</w:t>
      </w:r>
    </w:p>
    <w:p w:rsidR="00F327AF" w:rsidRDefault="00F327AF" w:rsidP="00B84CE1">
      <w:pPr>
        <w:keepLines/>
        <w:tabs>
          <w:tab w:val="left" w:pos="900"/>
        </w:tabs>
        <w:rPr>
          <w:rFonts w:ascii="Arial" w:hAnsi="Arial" w:cs="Arial"/>
          <w:sz w:val="22"/>
          <w:szCs w:val="22"/>
        </w:rPr>
      </w:pPr>
    </w:p>
    <w:p w:rsidR="00B84CE1" w:rsidRDefault="00B84CE1" w:rsidP="00B84CE1">
      <w:pPr>
        <w:keepLines/>
        <w:tabs>
          <w:tab w:val="left" w:pos="900"/>
        </w:tabs>
        <w:rPr>
          <w:rFonts w:ascii="Arial" w:hAnsi="Arial" w:cs="Arial"/>
          <w:sz w:val="22"/>
          <w:szCs w:val="22"/>
        </w:rPr>
      </w:pPr>
      <w:r>
        <w:rPr>
          <w:rFonts w:ascii="Arial" w:hAnsi="Arial" w:cs="Arial"/>
          <w:b/>
          <w:sz w:val="22"/>
          <w:szCs w:val="22"/>
        </w:rPr>
        <w:t>Discussion</w:t>
      </w:r>
    </w:p>
    <w:p w:rsidR="00EC4F3F" w:rsidRDefault="000A4682" w:rsidP="00B84CE1">
      <w:pPr>
        <w:keepLines/>
        <w:tabs>
          <w:tab w:val="left" w:pos="900"/>
        </w:tabs>
        <w:ind w:left="360"/>
        <w:rPr>
          <w:rFonts w:ascii="Arial" w:eastAsia="Calibri" w:hAnsi="Arial" w:cs="Arial"/>
          <w:i/>
          <w:color w:val="auto"/>
          <w:sz w:val="22"/>
          <w:szCs w:val="24"/>
        </w:rPr>
      </w:pPr>
      <w:r>
        <w:rPr>
          <w:rFonts w:ascii="Arial" w:eastAsia="Calibri" w:hAnsi="Arial" w:cs="Arial"/>
          <w:i/>
          <w:color w:val="auto"/>
          <w:sz w:val="22"/>
          <w:szCs w:val="24"/>
        </w:rPr>
        <w:t xml:space="preserve">Much of the material runs together and could be made more </w:t>
      </w:r>
      <w:proofErr w:type="gramStart"/>
      <w:r>
        <w:rPr>
          <w:rFonts w:ascii="Arial" w:eastAsia="Calibri" w:hAnsi="Arial" w:cs="Arial"/>
          <w:i/>
          <w:color w:val="auto"/>
          <w:sz w:val="22"/>
          <w:szCs w:val="24"/>
        </w:rPr>
        <w:t>user</w:t>
      </w:r>
      <w:proofErr w:type="gramEnd"/>
      <w:r w:rsidR="009621A2">
        <w:rPr>
          <w:rFonts w:ascii="Arial" w:eastAsia="Calibri" w:hAnsi="Arial" w:cs="Arial"/>
          <w:i/>
          <w:color w:val="auto"/>
          <w:sz w:val="22"/>
          <w:szCs w:val="24"/>
        </w:rPr>
        <w:t xml:space="preserve"> </w:t>
      </w:r>
      <w:r>
        <w:rPr>
          <w:rFonts w:ascii="Arial" w:eastAsia="Calibri" w:hAnsi="Arial" w:cs="Arial"/>
          <w:i/>
          <w:color w:val="auto"/>
          <w:sz w:val="22"/>
          <w:szCs w:val="24"/>
        </w:rPr>
        <w:t xml:space="preserve">friendly with </w:t>
      </w:r>
      <w:r w:rsidR="00016BC1">
        <w:rPr>
          <w:rFonts w:ascii="Arial" w:eastAsia="Calibri" w:hAnsi="Arial" w:cs="Arial"/>
          <w:i/>
          <w:color w:val="auto"/>
          <w:sz w:val="22"/>
          <w:szCs w:val="24"/>
        </w:rPr>
        <w:t xml:space="preserve">formatting changes such as </w:t>
      </w:r>
      <w:r>
        <w:rPr>
          <w:rFonts w:ascii="Arial" w:eastAsia="Calibri" w:hAnsi="Arial" w:cs="Arial"/>
          <w:i/>
          <w:color w:val="auto"/>
          <w:sz w:val="22"/>
          <w:szCs w:val="24"/>
        </w:rPr>
        <w:t>additional spacing</w:t>
      </w:r>
      <w:r w:rsidR="00016BC1">
        <w:rPr>
          <w:rFonts w:ascii="Arial" w:eastAsia="Calibri" w:hAnsi="Arial" w:cs="Arial"/>
          <w:i/>
          <w:color w:val="auto"/>
          <w:sz w:val="22"/>
          <w:szCs w:val="24"/>
        </w:rPr>
        <w:t>.  Some sections that address specific procedures, modalities or</w:t>
      </w:r>
      <w:r w:rsidR="00E1583E">
        <w:rPr>
          <w:rFonts w:ascii="Arial" w:eastAsia="Calibri" w:hAnsi="Arial" w:cs="Arial"/>
          <w:i/>
          <w:color w:val="auto"/>
          <w:sz w:val="22"/>
          <w:szCs w:val="24"/>
        </w:rPr>
        <w:t xml:space="preserve"> </w:t>
      </w:r>
      <w:r w:rsidR="00016BC1">
        <w:rPr>
          <w:rFonts w:ascii="Arial" w:eastAsia="Calibri" w:hAnsi="Arial" w:cs="Arial"/>
          <w:i/>
          <w:color w:val="auto"/>
          <w:sz w:val="22"/>
          <w:szCs w:val="24"/>
        </w:rPr>
        <w:t xml:space="preserve">goods </w:t>
      </w:r>
      <w:r w:rsidR="00E1583E">
        <w:rPr>
          <w:rFonts w:ascii="Arial" w:eastAsia="Calibri" w:hAnsi="Arial" w:cs="Arial"/>
          <w:i/>
          <w:color w:val="auto"/>
          <w:sz w:val="22"/>
          <w:szCs w:val="24"/>
        </w:rPr>
        <w:t xml:space="preserve">include duplicate </w:t>
      </w:r>
      <w:r w:rsidR="00016BC1">
        <w:rPr>
          <w:rFonts w:ascii="Arial" w:eastAsia="Calibri" w:hAnsi="Arial" w:cs="Arial"/>
          <w:i/>
          <w:color w:val="auto"/>
          <w:sz w:val="22"/>
          <w:szCs w:val="24"/>
        </w:rPr>
        <w:t>headings</w:t>
      </w:r>
      <w:r w:rsidR="00E1583E">
        <w:rPr>
          <w:rFonts w:ascii="Arial" w:eastAsia="Calibri" w:hAnsi="Arial" w:cs="Arial"/>
          <w:i/>
          <w:color w:val="auto"/>
          <w:sz w:val="22"/>
          <w:szCs w:val="24"/>
        </w:rPr>
        <w:t xml:space="preserve"> where only a single heading is necessary </w:t>
      </w:r>
      <w:r w:rsidR="009621A2">
        <w:rPr>
          <w:rFonts w:ascii="Arial" w:eastAsia="Calibri" w:hAnsi="Arial" w:cs="Arial"/>
          <w:i/>
          <w:color w:val="auto"/>
          <w:sz w:val="22"/>
          <w:szCs w:val="24"/>
        </w:rPr>
        <w:t>(</w:t>
      </w:r>
      <w:r w:rsidR="00E1583E">
        <w:rPr>
          <w:rFonts w:ascii="Arial" w:eastAsia="Calibri" w:hAnsi="Arial" w:cs="Arial"/>
          <w:i/>
          <w:color w:val="auto"/>
          <w:sz w:val="22"/>
          <w:szCs w:val="24"/>
        </w:rPr>
        <w:t>“D</w:t>
      </w:r>
      <w:r w:rsidR="00016BC1">
        <w:rPr>
          <w:rFonts w:ascii="Arial" w:eastAsia="Calibri" w:hAnsi="Arial" w:cs="Arial"/>
          <w:i/>
          <w:color w:val="auto"/>
          <w:sz w:val="22"/>
          <w:szCs w:val="24"/>
        </w:rPr>
        <w:t>osing</w:t>
      </w:r>
      <w:r w:rsidR="00E1583E">
        <w:rPr>
          <w:rFonts w:ascii="Arial" w:eastAsia="Calibri" w:hAnsi="Arial" w:cs="Arial"/>
          <w:i/>
          <w:color w:val="auto"/>
          <w:sz w:val="22"/>
          <w:szCs w:val="24"/>
        </w:rPr>
        <w:t>”</w:t>
      </w:r>
      <w:r w:rsidR="00016BC1">
        <w:rPr>
          <w:rFonts w:ascii="Arial" w:eastAsia="Calibri" w:hAnsi="Arial" w:cs="Arial"/>
          <w:i/>
          <w:color w:val="auto"/>
          <w:sz w:val="22"/>
          <w:szCs w:val="24"/>
        </w:rPr>
        <w:t xml:space="preserve"> </w:t>
      </w:r>
      <w:r w:rsidR="00BC4B4B">
        <w:rPr>
          <w:rFonts w:ascii="Arial" w:eastAsia="Calibri" w:hAnsi="Arial" w:cs="Arial"/>
          <w:i/>
          <w:color w:val="auto"/>
          <w:sz w:val="22"/>
          <w:szCs w:val="24"/>
        </w:rPr>
        <w:t>headings are an example</w:t>
      </w:r>
      <w:r w:rsidR="009621A2">
        <w:rPr>
          <w:rFonts w:ascii="Arial" w:eastAsia="Calibri" w:hAnsi="Arial" w:cs="Arial"/>
          <w:i/>
          <w:color w:val="auto"/>
          <w:sz w:val="22"/>
          <w:szCs w:val="24"/>
        </w:rPr>
        <w:t>)</w:t>
      </w:r>
      <w:r w:rsidR="00BC4B4B">
        <w:rPr>
          <w:rFonts w:ascii="Arial" w:eastAsia="Calibri" w:hAnsi="Arial" w:cs="Arial"/>
          <w:i/>
          <w:color w:val="auto"/>
          <w:sz w:val="22"/>
          <w:szCs w:val="24"/>
        </w:rPr>
        <w:t>.</w:t>
      </w:r>
    </w:p>
    <w:p w:rsidR="00EC4F3F" w:rsidRDefault="00EC4F3F" w:rsidP="00F327AF">
      <w:pPr>
        <w:keepLines/>
        <w:tabs>
          <w:tab w:val="left" w:pos="900"/>
        </w:tabs>
        <w:rPr>
          <w:rFonts w:ascii="Arial" w:hAnsi="Arial" w:cs="Arial"/>
          <w:sz w:val="22"/>
          <w:szCs w:val="22"/>
        </w:rPr>
      </w:pPr>
    </w:p>
    <w:p w:rsidR="00BC4B4B" w:rsidRDefault="00BC4B4B" w:rsidP="00F327AF">
      <w:pPr>
        <w:keepLines/>
        <w:tabs>
          <w:tab w:val="left" w:pos="900"/>
        </w:tabs>
        <w:rPr>
          <w:rFonts w:ascii="Arial" w:hAnsi="Arial" w:cs="Arial"/>
          <w:sz w:val="22"/>
          <w:szCs w:val="22"/>
        </w:rPr>
      </w:pPr>
    </w:p>
    <w:p w:rsidR="00747CF9" w:rsidRDefault="00747CF9" w:rsidP="00747CF9">
      <w:pPr>
        <w:keepLines/>
        <w:tabs>
          <w:tab w:val="left" w:pos="900"/>
        </w:tabs>
        <w:rPr>
          <w:rFonts w:ascii="Arial" w:hAnsi="Arial" w:cs="Arial"/>
          <w:sz w:val="22"/>
          <w:szCs w:val="22"/>
        </w:rPr>
      </w:pPr>
      <w:r>
        <w:rPr>
          <w:rFonts w:ascii="Arial" w:hAnsi="Arial" w:cs="Arial"/>
          <w:b/>
          <w:sz w:val="22"/>
          <w:szCs w:val="22"/>
        </w:rPr>
        <w:t>Recommendation</w:t>
      </w:r>
    </w:p>
    <w:p w:rsidR="0093469F" w:rsidRDefault="0093469F" w:rsidP="00B84CE1">
      <w:pPr>
        <w:keepLines/>
        <w:tabs>
          <w:tab w:val="left" w:pos="900"/>
        </w:tabs>
        <w:rPr>
          <w:rFonts w:ascii="Arial" w:hAnsi="Arial" w:cs="Arial"/>
          <w:sz w:val="22"/>
          <w:szCs w:val="22"/>
        </w:rPr>
      </w:pPr>
      <w:r w:rsidRPr="00B84CE1">
        <w:rPr>
          <w:rFonts w:ascii="Arial" w:hAnsi="Arial" w:cs="Arial"/>
          <w:sz w:val="22"/>
          <w:szCs w:val="22"/>
        </w:rPr>
        <w:t xml:space="preserve">Replace </w:t>
      </w:r>
      <w:r w:rsidR="00C81577" w:rsidRPr="00B84CE1">
        <w:rPr>
          <w:rFonts w:ascii="Arial" w:hAnsi="Arial" w:cs="Arial"/>
          <w:sz w:val="22"/>
          <w:szCs w:val="22"/>
        </w:rPr>
        <w:t>verbiage</w:t>
      </w:r>
      <w:r w:rsidRPr="00B84CE1">
        <w:rPr>
          <w:rFonts w:ascii="Arial" w:hAnsi="Arial" w:cs="Arial"/>
          <w:sz w:val="22"/>
          <w:szCs w:val="22"/>
        </w:rPr>
        <w:t xml:space="preserve"> that conflict</w:t>
      </w:r>
      <w:r w:rsidR="00C81577" w:rsidRPr="00B84CE1">
        <w:rPr>
          <w:rFonts w:ascii="Arial" w:hAnsi="Arial" w:cs="Arial"/>
          <w:sz w:val="22"/>
          <w:szCs w:val="22"/>
        </w:rPr>
        <w:t>s</w:t>
      </w:r>
      <w:r w:rsidRPr="00B84CE1">
        <w:rPr>
          <w:rFonts w:ascii="Arial" w:hAnsi="Arial" w:cs="Arial"/>
          <w:sz w:val="22"/>
          <w:szCs w:val="22"/>
        </w:rPr>
        <w:t xml:space="preserve"> with the definition of chronic pain in section 9792.20</w:t>
      </w:r>
      <w:r w:rsidR="00C81577" w:rsidRPr="00B84CE1">
        <w:rPr>
          <w:rFonts w:ascii="Arial" w:hAnsi="Arial" w:cs="Arial"/>
          <w:sz w:val="22"/>
          <w:szCs w:val="22"/>
        </w:rPr>
        <w:t xml:space="preserve"> with verbiage that conforms to that definition</w:t>
      </w:r>
    </w:p>
    <w:p w:rsidR="00B84CE1" w:rsidRDefault="00B84CE1" w:rsidP="00B84CE1">
      <w:pPr>
        <w:keepLines/>
        <w:tabs>
          <w:tab w:val="left" w:pos="900"/>
        </w:tabs>
        <w:rPr>
          <w:rFonts w:ascii="Arial" w:hAnsi="Arial" w:cs="Arial"/>
          <w:sz w:val="22"/>
          <w:szCs w:val="22"/>
        </w:rPr>
      </w:pPr>
    </w:p>
    <w:p w:rsidR="00B84CE1" w:rsidRDefault="00B84CE1" w:rsidP="00B84CE1">
      <w:pPr>
        <w:keepLines/>
        <w:tabs>
          <w:tab w:val="left" w:pos="900"/>
        </w:tabs>
        <w:rPr>
          <w:rFonts w:ascii="Arial" w:hAnsi="Arial" w:cs="Arial"/>
          <w:sz w:val="22"/>
          <w:szCs w:val="22"/>
        </w:rPr>
      </w:pPr>
      <w:r>
        <w:rPr>
          <w:rFonts w:ascii="Arial" w:hAnsi="Arial" w:cs="Arial"/>
          <w:b/>
          <w:sz w:val="22"/>
          <w:szCs w:val="22"/>
        </w:rPr>
        <w:t>Discussion</w:t>
      </w:r>
    </w:p>
    <w:p w:rsidR="001C3E9D" w:rsidRPr="00C67875" w:rsidRDefault="000D4450" w:rsidP="00B84CE1">
      <w:pPr>
        <w:pStyle w:val="ListParagraph"/>
        <w:keepLines/>
        <w:tabs>
          <w:tab w:val="left" w:pos="900"/>
        </w:tabs>
        <w:ind w:left="360"/>
        <w:rPr>
          <w:rFonts w:ascii="Arial" w:eastAsia="Calibri" w:hAnsi="Arial" w:cs="Arial"/>
          <w:i/>
          <w:color w:val="auto"/>
          <w:sz w:val="22"/>
          <w:szCs w:val="24"/>
        </w:rPr>
      </w:pPr>
      <w:r w:rsidRPr="00C67875">
        <w:rPr>
          <w:rFonts w:ascii="Arial" w:eastAsia="Calibri" w:hAnsi="Arial" w:cs="Arial"/>
          <w:i/>
          <w:color w:val="auto"/>
          <w:sz w:val="22"/>
          <w:szCs w:val="24"/>
        </w:rPr>
        <w:t>A</w:t>
      </w:r>
      <w:r w:rsidR="007E0D36" w:rsidRPr="00C67875">
        <w:rPr>
          <w:rFonts w:ascii="Arial" w:eastAsia="Calibri" w:hAnsi="Arial" w:cs="Arial"/>
          <w:i/>
          <w:color w:val="auto"/>
          <w:sz w:val="22"/>
          <w:szCs w:val="24"/>
        </w:rPr>
        <w:t>ccording to</w:t>
      </w:r>
      <w:r w:rsidR="001C3E9D" w:rsidRPr="00C67875">
        <w:rPr>
          <w:rFonts w:ascii="Arial" w:eastAsia="Calibri" w:hAnsi="Arial" w:cs="Arial"/>
          <w:i/>
          <w:color w:val="auto"/>
          <w:sz w:val="22"/>
          <w:szCs w:val="24"/>
        </w:rPr>
        <w:t xml:space="preserve"> section 9792.20, </w:t>
      </w:r>
      <w:r w:rsidR="00D26CEE" w:rsidRPr="00C67875">
        <w:rPr>
          <w:rFonts w:ascii="Arial" w:eastAsia="Calibri" w:hAnsi="Arial" w:cs="Arial"/>
          <w:i/>
          <w:color w:val="auto"/>
          <w:sz w:val="22"/>
          <w:szCs w:val="24"/>
        </w:rPr>
        <w:t xml:space="preserve">as used in Article 5.5.2 of the regulations, </w:t>
      </w:r>
      <w:r w:rsidR="001C3E9D" w:rsidRPr="00C67875">
        <w:rPr>
          <w:rFonts w:ascii="Arial" w:eastAsia="Calibri" w:hAnsi="Arial" w:cs="Arial"/>
          <w:i/>
          <w:color w:val="auto"/>
          <w:sz w:val="22"/>
          <w:szCs w:val="24"/>
        </w:rPr>
        <w:t>chronic pain means pain lasting three or more months from the initial onset of pain</w:t>
      </w:r>
      <w:r w:rsidR="00D26CEE" w:rsidRPr="00C67875">
        <w:rPr>
          <w:rFonts w:ascii="Arial" w:eastAsia="Calibri" w:hAnsi="Arial" w:cs="Arial"/>
          <w:i/>
          <w:color w:val="auto"/>
          <w:sz w:val="22"/>
          <w:szCs w:val="24"/>
        </w:rPr>
        <w:t xml:space="preserve">.  </w:t>
      </w:r>
      <w:r w:rsidR="002D0BD5" w:rsidRPr="00C67875">
        <w:rPr>
          <w:rFonts w:ascii="Arial" w:eastAsia="Calibri" w:hAnsi="Arial" w:cs="Arial"/>
          <w:i/>
          <w:color w:val="auto"/>
          <w:sz w:val="22"/>
          <w:szCs w:val="24"/>
        </w:rPr>
        <w:t>If the language is not revised, there will be confusion and dispute</w:t>
      </w:r>
      <w:r w:rsidR="009621A2">
        <w:rPr>
          <w:rFonts w:ascii="Arial" w:eastAsia="Calibri" w:hAnsi="Arial" w:cs="Arial"/>
          <w:i/>
          <w:color w:val="auto"/>
          <w:sz w:val="22"/>
          <w:szCs w:val="24"/>
        </w:rPr>
        <w:t>s</w:t>
      </w:r>
      <w:r w:rsidR="002D0BD5" w:rsidRPr="00C67875">
        <w:rPr>
          <w:rFonts w:ascii="Arial" w:eastAsia="Calibri" w:hAnsi="Arial" w:cs="Arial"/>
          <w:i/>
          <w:color w:val="auto"/>
          <w:sz w:val="22"/>
          <w:szCs w:val="24"/>
        </w:rPr>
        <w:t xml:space="preserve"> over whether or not the pain is chronic and which guideline section is applicable.</w:t>
      </w:r>
    </w:p>
    <w:p w:rsidR="000D4450" w:rsidRDefault="000D4450" w:rsidP="00091894">
      <w:pPr>
        <w:pStyle w:val="ListParagraph"/>
        <w:keepLines/>
        <w:tabs>
          <w:tab w:val="left" w:pos="900"/>
        </w:tabs>
        <w:rPr>
          <w:i/>
        </w:rPr>
      </w:pPr>
    </w:p>
    <w:p w:rsidR="000D4450" w:rsidRDefault="000D4450" w:rsidP="00091894">
      <w:pPr>
        <w:pStyle w:val="ListParagraph"/>
        <w:keepLines/>
        <w:tabs>
          <w:tab w:val="left" w:pos="900"/>
        </w:tabs>
        <w:rPr>
          <w:rFonts w:ascii="Arial" w:hAnsi="Arial" w:cs="Arial"/>
          <w:sz w:val="22"/>
          <w:szCs w:val="22"/>
        </w:rPr>
      </w:pPr>
    </w:p>
    <w:p w:rsidR="00971667" w:rsidRDefault="00971667" w:rsidP="00B84CE1">
      <w:pPr>
        <w:keepLines/>
        <w:tabs>
          <w:tab w:val="left" w:pos="900"/>
        </w:tabs>
        <w:rPr>
          <w:rFonts w:ascii="Arial" w:hAnsi="Arial" w:cs="Arial"/>
          <w:sz w:val="22"/>
          <w:szCs w:val="22"/>
        </w:rPr>
      </w:pPr>
      <w:r>
        <w:rPr>
          <w:rFonts w:ascii="Arial" w:hAnsi="Arial" w:cs="Arial"/>
          <w:b/>
          <w:sz w:val="22"/>
          <w:szCs w:val="22"/>
        </w:rPr>
        <w:t>Recommendation</w:t>
      </w:r>
    </w:p>
    <w:p w:rsidR="0093469F" w:rsidRPr="00B84CE1" w:rsidRDefault="0093469F" w:rsidP="00B84CE1">
      <w:pPr>
        <w:keepLines/>
        <w:tabs>
          <w:tab w:val="left" w:pos="900"/>
        </w:tabs>
        <w:rPr>
          <w:rFonts w:ascii="Arial" w:hAnsi="Arial" w:cs="Arial"/>
          <w:sz w:val="22"/>
          <w:szCs w:val="22"/>
        </w:rPr>
      </w:pPr>
      <w:r w:rsidRPr="00B84CE1">
        <w:rPr>
          <w:rFonts w:ascii="Arial" w:hAnsi="Arial" w:cs="Arial"/>
          <w:sz w:val="22"/>
          <w:szCs w:val="22"/>
        </w:rPr>
        <w:t>Delete from this MTUS chapter recommendations for treatment of non-chronic pain, including recommendations for acute pain</w:t>
      </w:r>
      <w:r w:rsidR="00796532" w:rsidRPr="00B84CE1">
        <w:rPr>
          <w:rFonts w:ascii="Arial" w:hAnsi="Arial" w:cs="Arial"/>
          <w:sz w:val="22"/>
          <w:szCs w:val="22"/>
        </w:rPr>
        <w:t>, sub-acute pain</w:t>
      </w:r>
      <w:r w:rsidRPr="00B84CE1">
        <w:rPr>
          <w:rFonts w:ascii="Arial" w:hAnsi="Arial" w:cs="Arial"/>
          <w:sz w:val="22"/>
          <w:szCs w:val="22"/>
        </w:rPr>
        <w:t xml:space="preserve"> and initial treatment</w:t>
      </w:r>
    </w:p>
    <w:p w:rsidR="00971667" w:rsidRDefault="00971667" w:rsidP="00B84CE1">
      <w:pPr>
        <w:keepLines/>
        <w:tabs>
          <w:tab w:val="left" w:pos="900"/>
        </w:tabs>
        <w:rPr>
          <w:rFonts w:ascii="Arial" w:hAnsi="Arial" w:cs="Arial"/>
          <w:b/>
          <w:sz w:val="22"/>
          <w:szCs w:val="22"/>
        </w:rPr>
      </w:pPr>
    </w:p>
    <w:p w:rsidR="00B84CE1" w:rsidRPr="00B84CE1" w:rsidRDefault="00B84CE1" w:rsidP="00B84CE1">
      <w:pPr>
        <w:keepLines/>
        <w:tabs>
          <w:tab w:val="left" w:pos="900"/>
        </w:tabs>
        <w:rPr>
          <w:rFonts w:ascii="Arial" w:hAnsi="Arial" w:cs="Arial"/>
          <w:sz w:val="22"/>
          <w:szCs w:val="22"/>
        </w:rPr>
      </w:pPr>
      <w:r>
        <w:rPr>
          <w:rFonts w:ascii="Arial" w:hAnsi="Arial" w:cs="Arial"/>
          <w:b/>
          <w:sz w:val="22"/>
          <w:szCs w:val="22"/>
        </w:rPr>
        <w:t>Discussion</w:t>
      </w:r>
    </w:p>
    <w:p w:rsidR="00D26CEE" w:rsidRPr="00C67875" w:rsidRDefault="00D26CEE" w:rsidP="00B84CE1">
      <w:pPr>
        <w:pStyle w:val="ListParagraph"/>
        <w:keepLines/>
        <w:tabs>
          <w:tab w:val="left" w:pos="900"/>
        </w:tabs>
        <w:ind w:left="360"/>
        <w:rPr>
          <w:rFonts w:ascii="Arial" w:eastAsia="Calibri" w:hAnsi="Arial" w:cs="Arial"/>
          <w:i/>
          <w:color w:val="auto"/>
          <w:sz w:val="22"/>
          <w:szCs w:val="24"/>
        </w:rPr>
      </w:pPr>
      <w:r w:rsidRPr="00C67875">
        <w:rPr>
          <w:rFonts w:ascii="Arial" w:eastAsia="Calibri" w:hAnsi="Arial" w:cs="Arial"/>
          <w:i/>
          <w:color w:val="auto"/>
          <w:sz w:val="22"/>
          <w:szCs w:val="24"/>
        </w:rPr>
        <w:t>The</w:t>
      </w:r>
      <w:r w:rsidR="000D4450" w:rsidRPr="00C67875">
        <w:rPr>
          <w:rFonts w:ascii="Arial" w:eastAsia="Calibri" w:hAnsi="Arial" w:cs="Arial"/>
          <w:i/>
          <w:color w:val="auto"/>
          <w:sz w:val="22"/>
          <w:szCs w:val="24"/>
        </w:rPr>
        <w:t>se</w:t>
      </w:r>
      <w:r w:rsidRPr="00C67875">
        <w:rPr>
          <w:rFonts w:ascii="Arial" w:eastAsia="Calibri" w:hAnsi="Arial" w:cs="Arial"/>
          <w:i/>
          <w:color w:val="auto"/>
          <w:sz w:val="22"/>
          <w:szCs w:val="24"/>
        </w:rPr>
        <w:t xml:space="preserve"> chronic pain </w:t>
      </w:r>
      <w:r w:rsidR="000D4450" w:rsidRPr="00C67875">
        <w:rPr>
          <w:rFonts w:ascii="Arial" w:eastAsia="Calibri" w:hAnsi="Arial" w:cs="Arial"/>
          <w:i/>
          <w:color w:val="auto"/>
          <w:sz w:val="22"/>
          <w:szCs w:val="24"/>
        </w:rPr>
        <w:t xml:space="preserve">medical treatment </w:t>
      </w:r>
      <w:r w:rsidRPr="00C67875">
        <w:rPr>
          <w:rFonts w:ascii="Arial" w:eastAsia="Calibri" w:hAnsi="Arial" w:cs="Arial"/>
          <w:i/>
          <w:color w:val="auto"/>
          <w:sz w:val="22"/>
          <w:szCs w:val="24"/>
        </w:rPr>
        <w:t>guidelines do not apply when pain is not chronic</w:t>
      </w:r>
      <w:r w:rsidR="000D4450" w:rsidRPr="00C67875">
        <w:rPr>
          <w:rFonts w:ascii="Arial" w:eastAsia="Calibri" w:hAnsi="Arial" w:cs="Arial"/>
          <w:i/>
          <w:color w:val="auto"/>
          <w:sz w:val="22"/>
          <w:szCs w:val="24"/>
        </w:rPr>
        <w:t xml:space="preserve">, therefore </w:t>
      </w:r>
      <w:r w:rsidR="00373FB2" w:rsidRPr="00C67875">
        <w:rPr>
          <w:rFonts w:ascii="Arial" w:eastAsia="Calibri" w:hAnsi="Arial" w:cs="Arial"/>
          <w:i/>
          <w:color w:val="auto"/>
          <w:sz w:val="22"/>
          <w:szCs w:val="24"/>
        </w:rPr>
        <w:t>these guidelines</w:t>
      </w:r>
      <w:r w:rsidR="000D4450" w:rsidRPr="00C67875">
        <w:rPr>
          <w:rFonts w:ascii="Arial" w:eastAsia="Calibri" w:hAnsi="Arial" w:cs="Arial"/>
          <w:i/>
          <w:color w:val="auto"/>
          <w:sz w:val="22"/>
          <w:szCs w:val="24"/>
        </w:rPr>
        <w:t xml:space="preserve"> may not address </w:t>
      </w:r>
      <w:r w:rsidR="00373FB2" w:rsidRPr="00C67875">
        <w:rPr>
          <w:rFonts w:ascii="Arial" w:eastAsia="Calibri" w:hAnsi="Arial" w:cs="Arial"/>
          <w:i/>
          <w:color w:val="auto"/>
          <w:sz w:val="22"/>
          <w:szCs w:val="24"/>
        </w:rPr>
        <w:t xml:space="preserve">non-chronic pain </w:t>
      </w:r>
      <w:r w:rsidR="00796532" w:rsidRPr="00C67875">
        <w:rPr>
          <w:rFonts w:ascii="Arial" w:eastAsia="Calibri" w:hAnsi="Arial" w:cs="Arial"/>
          <w:i/>
          <w:color w:val="auto"/>
          <w:sz w:val="22"/>
          <w:szCs w:val="24"/>
        </w:rPr>
        <w:t xml:space="preserve">(pain of less than three month’s duration, which would include acute pain, sub-acute pain and initial treatment.  Acute pain, sub-acute pain and initial treatment are </w:t>
      </w:r>
      <w:r w:rsidR="002A6DE2" w:rsidRPr="00C67875">
        <w:rPr>
          <w:rFonts w:ascii="Arial" w:eastAsia="Calibri" w:hAnsi="Arial" w:cs="Arial"/>
          <w:i/>
          <w:color w:val="auto"/>
          <w:sz w:val="22"/>
          <w:szCs w:val="24"/>
        </w:rPr>
        <w:t xml:space="preserve">addressed in the other MTUS sections.  If recommendations for non-chronic pain are not </w:t>
      </w:r>
      <w:r w:rsidRPr="00C67875">
        <w:rPr>
          <w:rFonts w:ascii="Arial" w:eastAsia="Calibri" w:hAnsi="Arial" w:cs="Arial"/>
          <w:i/>
          <w:color w:val="auto"/>
          <w:sz w:val="22"/>
          <w:szCs w:val="24"/>
        </w:rPr>
        <w:t>deleted</w:t>
      </w:r>
      <w:r w:rsidR="002A6DE2" w:rsidRPr="00C67875">
        <w:rPr>
          <w:rFonts w:ascii="Arial" w:eastAsia="Calibri" w:hAnsi="Arial" w:cs="Arial"/>
          <w:i/>
          <w:color w:val="auto"/>
          <w:sz w:val="22"/>
          <w:szCs w:val="24"/>
        </w:rPr>
        <w:t xml:space="preserve">, </w:t>
      </w:r>
      <w:r w:rsidR="007D4DC4" w:rsidRPr="00C67875">
        <w:rPr>
          <w:rFonts w:ascii="Arial" w:eastAsia="Calibri" w:hAnsi="Arial" w:cs="Arial"/>
          <w:i/>
          <w:color w:val="auto"/>
          <w:sz w:val="22"/>
          <w:szCs w:val="24"/>
        </w:rPr>
        <w:t>this</w:t>
      </w:r>
      <w:r w:rsidR="002A6DE2" w:rsidRPr="00C67875">
        <w:rPr>
          <w:rFonts w:ascii="Arial" w:eastAsia="Calibri" w:hAnsi="Arial" w:cs="Arial"/>
          <w:i/>
          <w:color w:val="auto"/>
          <w:sz w:val="22"/>
          <w:szCs w:val="24"/>
        </w:rPr>
        <w:t xml:space="preserve"> will </w:t>
      </w:r>
      <w:r w:rsidR="002D0BD5" w:rsidRPr="00C67875">
        <w:rPr>
          <w:rFonts w:ascii="Arial" w:eastAsia="Calibri" w:hAnsi="Arial" w:cs="Arial"/>
          <w:i/>
          <w:color w:val="auto"/>
          <w:sz w:val="22"/>
          <w:szCs w:val="24"/>
        </w:rPr>
        <w:t xml:space="preserve">also </w:t>
      </w:r>
      <w:r w:rsidR="007D4DC4" w:rsidRPr="00C67875">
        <w:rPr>
          <w:rFonts w:ascii="Arial" w:eastAsia="Calibri" w:hAnsi="Arial" w:cs="Arial"/>
          <w:i/>
          <w:color w:val="auto"/>
          <w:sz w:val="22"/>
          <w:szCs w:val="24"/>
        </w:rPr>
        <w:t>result in</w:t>
      </w:r>
      <w:r w:rsidR="002A6DE2" w:rsidRPr="00C67875">
        <w:rPr>
          <w:rFonts w:ascii="Arial" w:eastAsia="Calibri" w:hAnsi="Arial" w:cs="Arial"/>
          <w:i/>
          <w:color w:val="auto"/>
          <w:sz w:val="22"/>
          <w:szCs w:val="24"/>
        </w:rPr>
        <w:t xml:space="preserve"> </w:t>
      </w:r>
      <w:r w:rsidRPr="00C67875">
        <w:rPr>
          <w:rFonts w:ascii="Arial" w:eastAsia="Calibri" w:hAnsi="Arial" w:cs="Arial"/>
          <w:i/>
          <w:color w:val="auto"/>
          <w:sz w:val="22"/>
          <w:szCs w:val="24"/>
        </w:rPr>
        <w:t>confusion and dispute</w:t>
      </w:r>
      <w:r w:rsidR="009621A2">
        <w:rPr>
          <w:rFonts w:ascii="Arial" w:eastAsia="Calibri" w:hAnsi="Arial" w:cs="Arial"/>
          <w:i/>
          <w:color w:val="auto"/>
          <w:sz w:val="22"/>
          <w:szCs w:val="24"/>
        </w:rPr>
        <w:t>s</w:t>
      </w:r>
      <w:r w:rsidRPr="00C67875">
        <w:rPr>
          <w:rFonts w:ascii="Arial" w:eastAsia="Calibri" w:hAnsi="Arial" w:cs="Arial"/>
          <w:i/>
          <w:color w:val="auto"/>
          <w:sz w:val="22"/>
          <w:szCs w:val="24"/>
        </w:rPr>
        <w:t xml:space="preserve"> over whether or not the pain is chronic</w:t>
      </w:r>
      <w:r w:rsidR="009621A2">
        <w:rPr>
          <w:rFonts w:ascii="Arial" w:eastAsia="Calibri" w:hAnsi="Arial" w:cs="Arial"/>
          <w:i/>
          <w:color w:val="auto"/>
          <w:sz w:val="22"/>
          <w:szCs w:val="24"/>
        </w:rPr>
        <w:t>,</w:t>
      </w:r>
      <w:r w:rsidRPr="00C67875">
        <w:rPr>
          <w:rFonts w:ascii="Arial" w:eastAsia="Calibri" w:hAnsi="Arial" w:cs="Arial"/>
          <w:i/>
          <w:color w:val="auto"/>
          <w:sz w:val="22"/>
          <w:szCs w:val="24"/>
        </w:rPr>
        <w:t xml:space="preserve"> </w:t>
      </w:r>
      <w:r w:rsidR="002D0BD5" w:rsidRPr="00C67875">
        <w:rPr>
          <w:rFonts w:ascii="Arial" w:eastAsia="Calibri" w:hAnsi="Arial" w:cs="Arial"/>
          <w:i/>
          <w:color w:val="auto"/>
          <w:sz w:val="22"/>
          <w:szCs w:val="24"/>
        </w:rPr>
        <w:t>and</w:t>
      </w:r>
      <w:r w:rsidRPr="00C67875">
        <w:rPr>
          <w:rFonts w:ascii="Arial" w:eastAsia="Calibri" w:hAnsi="Arial" w:cs="Arial"/>
          <w:i/>
          <w:color w:val="auto"/>
          <w:sz w:val="22"/>
          <w:szCs w:val="24"/>
        </w:rPr>
        <w:t xml:space="preserve"> which guideline </w:t>
      </w:r>
      <w:r w:rsidR="002D0BD5" w:rsidRPr="00C67875">
        <w:rPr>
          <w:rFonts w:ascii="Arial" w:eastAsia="Calibri" w:hAnsi="Arial" w:cs="Arial"/>
          <w:i/>
          <w:color w:val="auto"/>
          <w:sz w:val="22"/>
          <w:szCs w:val="24"/>
        </w:rPr>
        <w:t>section is</w:t>
      </w:r>
      <w:r w:rsidRPr="00C67875">
        <w:rPr>
          <w:rFonts w:ascii="Arial" w:eastAsia="Calibri" w:hAnsi="Arial" w:cs="Arial"/>
          <w:i/>
          <w:color w:val="auto"/>
          <w:sz w:val="22"/>
          <w:szCs w:val="24"/>
        </w:rPr>
        <w:t xml:space="preserve"> applicable</w:t>
      </w:r>
      <w:r w:rsidR="002D0BD5" w:rsidRPr="00C67875">
        <w:rPr>
          <w:rFonts w:ascii="Arial" w:eastAsia="Calibri" w:hAnsi="Arial" w:cs="Arial"/>
          <w:i/>
          <w:color w:val="auto"/>
          <w:sz w:val="22"/>
          <w:szCs w:val="24"/>
        </w:rPr>
        <w:t>.</w:t>
      </w:r>
    </w:p>
    <w:p w:rsidR="00971667" w:rsidRPr="00091894" w:rsidRDefault="00971667" w:rsidP="00091894">
      <w:pPr>
        <w:keepLines/>
        <w:tabs>
          <w:tab w:val="left" w:pos="900"/>
        </w:tabs>
        <w:rPr>
          <w:rFonts w:ascii="Arial" w:hAnsi="Arial" w:cs="Arial"/>
          <w:sz w:val="22"/>
          <w:szCs w:val="22"/>
        </w:rPr>
      </w:pPr>
      <w:r>
        <w:rPr>
          <w:rFonts w:ascii="Arial" w:hAnsi="Arial" w:cs="Arial"/>
          <w:b/>
          <w:sz w:val="22"/>
          <w:szCs w:val="22"/>
        </w:rPr>
        <w:lastRenderedPageBreak/>
        <w:t>Recommendation</w:t>
      </w:r>
    </w:p>
    <w:p w:rsidR="0093469F" w:rsidRPr="00971667" w:rsidRDefault="0093469F" w:rsidP="00971667">
      <w:pPr>
        <w:keepLines/>
        <w:tabs>
          <w:tab w:val="left" w:pos="900"/>
        </w:tabs>
        <w:rPr>
          <w:rFonts w:ascii="Arial" w:hAnsi="Arial" w:cs="Arial"/>
          <w:sz w:val="22"/>
          <w:szCs w:val="22"/>
        </w:rPr>
      </w:pPr>
      <w:r w:rsidRPr="00971667">
        <w:rPr>
          <w:rFonts w:ascii="Arial" w:hAnsi="Arial" w:cs="Arial"/>
          <w:sz w:val="22"/>
          <w:szCs w:val="22"/>
        </w:rPr>
        <w:t>Retitle part 2 of the MTUS Chronic Pain Medical Treatment Guidelines “Chronic Pain Medical Treatment Guidelines” to avoid confusion with ODG’s own guidelines</w:t>
      </w:r>
    </w:p>
    <w:p w:rsidR="00091894" w:rsidRDefault="00091894" w:rsidP="00971667">
      <w:pPr>
        <w:keepLines/>
        <w:tabs>
          <w:tab w:val="left" w:pos="900"/>
        </w:tabs>
        <w:rPr>
          <w:rFonts w:ascii="Arial" w:hAnsi="Arial" w:cs="Arial"/>
          <w:sz w:val="22"/>
          <w:szCs w:val="22"/>
        </w:rPr>
      </w:pPr>
    </w:p>
    <w:p w:rsidR="00971667" w:rsidRDefault="00971667" w:rsidP="00971667">
      <w:pPr>
        <w:keepLines/>
        <w:tabs>
          <w:tab w:val="left" w:pos="900"/>
        </w:tabs>
        <w:rPr>
          <w:rFonts w:ascii="Arial" w:hAnsi="Arial" w:cs="Arial"/>
          <w:sz w:val="22"/>
          <w:szCs w:val="22"/>
        </w:rPr>
      </w:pPr>
      <w:r>
        <w:rPr>
          <w:rFonts w:ascii="Arial" w:hAnsi="Arial" w:cs="Arial"/>
          <w:b/>
          <w:sz w:val="22"/>
          <w:szCs w:val="22"/>
        </w:rPr>
        <w:t>Discussion</w:t>
      </w:r>
    </w:p>
    <w:p w:rsidR="007C77E5" w:rsidRDefault="006916E7" w:rsidP="00971667">
      <w:pPr>
        <w:shd w:val="clear" w:color="auto" w:fill="FFFFFF"/>
        <w:spacing w:line="288" w:lineRule="atLeast"/>
        <w:ind w:left="360"/>
        <w:rPr>
          <w:rFonts w:ascii="Arial" w:hAnsi="Arial" w:cs="Arial"/>
          <w:i/>
          <w:color w:val="212121"/>
          <w:sz w:val="22"/>
          <w:szCs w:val="24"/>
        </w:rPr>
      </w:pPr>
      <w:r>
        <w:rPr>
          <w:rFonts w:ascii="Arial" w:hAnsi="Arial" w:cs="Arial"/>
          <w:i/>
          <w:color w:val="212121"/>
          <w:sz w:val="22"/>
          <w:szCs w:val="24"/>
        </w:rPr>
        <w:t xml:space="preserve">As </w:t>
      </w:r>
      <w:r w:rsidR="007B6012">
        <w:rPr>
          <w:rFonts w:ascii="Arial" w:hAnsi="Arial" w:cs="Arial"/>
          <w:i/>
          <w:color w:val="212121"/>
          <w:sz w:val="22"/>
          <w:szCs w:val="24"/>
        </w:rPr>
        <w:t xml:space="preserve">also </w:t>
      </w:r>
      <w:r>
        <w:rPr>
          <w:rFonts w:ascii="Arial" w:hAnsi="Arial" w:cs="Arial"/>
          <w:i/>
          <w:color w:val="212121"/>
          <w:sz w:val="22"/>
          <w:szCs w:val="24"/>
        </w:rPr>
        <w:t>address</w:t>
      </w:r>
      <w:r w:rsidR="007B6012">
        <w:rPr>
          <w:rFonts w:ascii="Arial" w:hAnsi="Arial" w:cs="Arial"/>
          <w:i/>
          <w:color w:val="212121"/>
          <w:sz w:val="22"/>
          <w:szCs w:val="24"/>
        </w:rPr>
        <w:t>ed</w:t>
      </w:r>
      <w:r>
        <w:rPr>
          <w:rFonts w:ascii="Arial" w:hAnsi="Arial" w:cs="Arial"/>
          <w:i/>
          <w:color w:val="212121"/>
          <w:sz w:val="22"/>
          <w:szCs w:val="24"/>
        </w:rPr>
        <w:t xml:space="preserve"> in </w:t>
      </w:r>
      <w:r w:rsidR="007B6012">
        <w:rPr>
          <w:rFonts w:ascii="Arial" w:hAnsi="Arial" w:cs="Arial"/>
          <w:i/>
          <w:color w:val="212121"/>
          <w:sz w:val="22"/>
          <w:szCs w:val="24"/>
        </w:rPr>
        <w:t xml:space="preserve">the Institute’s </w:t>
      </w:r>
      <w:r>
        <w:rPr>
          <w:rFonts w:ascii="Arial" w:hAnsi="Arial" w:cs="Arial"/>
          <w:i/>
          <w:color w:val="212121"/>
          <w:sz w:val="22"/>
          <w:szCs w:val="24"/>
        </w:rPr>
        <w:t xml:space="preserve">section </w:t>
      </w:r>
      <w:r w:rsidRPr="006916E7">
        <w:rPr>
          <w:rFonts w:ascii="Arial" w:hAnsi="Arial" w:cs="Arial"/>
          <w:i/>
          <w:color w:val="212121"/>
          <w:sz w:val="22"/>
          <w:szCs w:val="24"/>
        </w:rPr>
        <w:t>9792.24.2</w:t>
      </w:r>
      <w:r>
        <w:rPr>
          <w:rFonts w:ascii="Arial" w:hAnsi="Arial" w:cs="Arial"/>
          <w:i/>
          <w:color w:val="212121"/>
          <w:sz w:val="22"/>
          <w:szCs w:val="24"/>
        </w:rPr>
        <w:t xml:space="preserve"> comments, </w:t>
      </w:r>
      <w:r w:rsidRPr="009D70C4">
        <w:rPr>
          <w:rFonts w:ascii="Arial" w:hAnsi="Arial" w:cs="Arial"/>
          <w:i/>
          <w:color w:val="212121"/>
          <w:sz w:val="22"/>
          <w:szCs w:val="24"/>
        </w:rPr>
        <w:t xml:space="preserve">the Division is not adopting the ODG Guidelines, but rather a modified version of those Guidelines.  Naming the guidelines “Official Disability Guidelines (ODG)” causes unnecessary confusion over </w:t>
      </w:r>
    </w:p>
    <w:p w:rsidR="007C77E5" w:rsidRDefault="006916E7" w:rsidP="00971667">
      <w:pPr>
        <w:shd w:val="clear" w:color="auto" w:fill="FFFFFF"/>
        <w:spacing w:line="288" w:lineRule="atLeast"/>
        <w:ind w:left="360"/>
        <w:rPr>
          <w:rFonts w:ascii="Arial" w:hAnsi="Arial" w:cs="Arial"/>
          <w:i/>
          <w:color w:val="212121"/>
          <w:sz w:val="22"/>
          <w:szCs w:val="24"/>
        </w:rPr>
      </w:pPr>
      <w:proofErr w:type="gramStart"/>
      <w:r w:rsidRPr="009D70C4">
        <w:rPr>
          <w:rFonts w:ascii="Arial" w:hAnsi="Arial" w:cs="Arial"/>
          <w:i/>
          <w:color w:val="212121"/>
          <w:sz w:val="22"/>
          <w:szCs w:val="24"/>
        </w:rPr>
        <w:t>whether</w:t>
      </w:r>
      <w:proofErr w:type="gramEnd"/>
      <w:r w:rsidRPr="009D70C4">
        <w:rPr>
          <w:rFonts w:ascii="Arial" w:hAnsi="Arial" w:cs="Arial"/>
          <w:i/>
          <w:color w:val="212121"/>
          <w:sz w:val="22"/>
          <w:szCs w:val="24"/>
        </w:rPr>
        <w:t xml:space="preserve"> the </w:t>
      </w:r>
      <w:r w:rsidR="009621A2">
        <w:rPr>
          <w:rFonts w:ascii="Arial" w:hAnsi="Arial" w:cs="Arial"/>
          <w:i/>
          <w:color w:val="212121"/>
          <w:sz w:val="22"/>
          <w:szCs w:val="24"/>
        </w:rPr>
        <w:t xml:space="preserve">references and citations refer to the </w:t>
      </w:r>
      <w:r w:rsidRPr="009D70C4">
        <w:rPr>
          <w:rFonts w:ascii="Arial" w:hAnsi="Arial" w:cs="Arial"/>
          <w:i/>
          <w:color w:val="212121"/>
          <w:sz w:val="22"/>
          <w:szCs w:val="24"/>
        </w:rPr>
        <w:t xml:space="preserve">modified version adopted in 9792.24.2 and </w:t>
      </w:r>
    </w:p>
    <w:p w:rsidR="007C77E5" w:rsidRDefault="006916E7" w:rsidP="00971667">
      <w:pPr>
        <w:shd w:val="clear" w:color="auto" w:fill="FFFFFF"/>
        <w:spacing w:line="288" w:lineRule="atLeast"/>
        <w:ind w:left="360"/>
        <w:rPr>
          <w:rFonts w:ascii="Arial" w:hAnsi="Arial" w:cs="Arial"/>
          <w:i/>
          <w:color w:val="212121"/>
          <w:sz w:val="22"/>
          <w:szCs w:val="24"/>
        </w:rPr>
      </w:pPr>
      <w:proofErr w:type="gramStart"/>
      <w:r w:rsidRPr="009D70C4">
        <w:rPr>
          <w:rFonts w:ascii="Arial" w:hAnsi="Arial" w:cs="Arial"/>
          <w:i/>
          <w:color w:val="212121"/>
          <w:sz w:val="22"/>
          <w:szCs w:val="24"/>
        </w:rPr>
        <w:t>specified</w:t>
      </w:r>
      <w:proofErr w:type="gramEnd"/>
      <w:r w:rsidRPr="009D70C4">
        <w:rPr>
          <w:rFonts w:ascii="Arial" w:hAnsi="Arial" w:cs="Arial"/>
          <w:i/>
          <w:color w:val="212121"/>
          <w:sz w:val="22"/>
          <w:szCs w:val="24"/>
        </w:rPr>
        <w:t xml:space="preserve"> in 9792.21.1(a)(1)  or </w:t>
      </w:r>
      <w:r w:rsidR="00440799">
        <w:rPr>
          <w:rFonts w:ascii="Arial" w:hAnsi="Arial" w:cs="Arial"/>
          <w:i/>
          <w:color w:val="212121"/>
          <w:sz w:val="22"/>
          <w:szCs w:val="24"/>
        </w:rPr>
        <w:t xml:space="preserve">to </w:t>
      </w:r>
      <w:r w:rsidRPr="009D70C4">
        <w:rPr>
          <w:rFonts w:ascii="Arial" w:hAnsi="Arial" w:cs="Arial"/>
          <w:i/>
          <w:color w:val="212121"/>
          <w:sz w:val="22"/>
          <w:szCs w:val="24"/>
        </w:rPr>
        <w:t xml:space="preserve">the most current version of the Official Disability </w:t>
      </w:r>
    </w:p>
    <w:p w:rsidR="006916E7" w:rsidRPr="009D70C4" w:rsidRDefault="006916E7" w:rsidP="00971667">
      <w:pPr>
        <w:shd w:val="clear" w:color="auto" w:fill="FFFFFF"/>
        <w:spacing w:line="288" w:lineRule="atLeast"/>
        <w:ind w:left="360"/>
        <w:rPr>
          <w:rFonts w:ascii="Arial" w:hAnsi="Arial" w:cs="Arial"/>
          <w:i/>
          <w:color w:val="212121"/>
          <w:sz w:val="22"/>
          <w:szCs w:val="24"/>
        </w:rPr>
      </w:pPr>
      <w:r w:rsidRPr="009D70C4">
        <w:rPr>
          <w:rFonts w:ascii="Arial" w:hAnsi="Arial" w:cs="Arial"/>
          <w:i/>
          <w:color w:val="212121"/>
          <w:sz w:val="22"/>
          <w:szCs w:val="24"/>
        </w:rPr>
        <w:t>Guidelines as defined in 9792.20(</w:t>
      </w:r>
      <w:proofErr w:type="spellStart"/>
      <w:r w:rsidRPr="009D70C4">
        <w:rPr>
          <w:rFonts w:ascii="Arial" w:hAnsi="Arial" w:cs="Arial"/>
          <w:i/>
          <w:color w:val="212121"/>
          <w:sz w:val="22"/>
          <w:szCs w:val="24"/>
        </w:rPr>
        <w:t>i</w:t>
      </w:r>
      <w:proofErr w:type="spellEnd"/>
      <w:r w:rsidRPr="009D70C4">
        <w:rPr>
          <w:rFonts w:ascii="Arial" w:hAnsi="Arial" w:cs="Arial"/>
          <w:i/>
          <w:color w:val="212121"/>
          <w:sz w:val="22"/>
          <w:szCs w:val="24"/>
        </w:rPr>
        <w:t xml:space="preserve">) and specified </w:t>
      </w:r>
      <w:proofErr w:type="gramStart"/>
      <w:r w:rsidRPr="009D70C4">
        <w:rPr>
          <w:rFonts w:ascii="Arial" w:hAnsi="Arial" w:cs="Arial"/>
          <w:i/>
          <w:color w:val="212121"/>
          <w:sz w:val="22"/>
          <w:szCs w:val="24"/>
        </w:rPr>
        <w:t>in  9792.21.1</w:t>
      </w:r>
      <w:proofErr w:type="gramEnd"/>
      <w:r w:rsidRPr="009D70C4">
        <w:rPr>
          <w:rFonts w:ascii="Arial" w:hAnsi="Arial" w:cs="Arial"/>
          <w:i/>
          <w:color w:val="212121"/>
          <w:sz w:val="22"/>
          <w:szCs w:val="24"/>
        </w:rPr>
        <w:t>(a)(2)(A)</w:t>
      </w:r>
      <w:r>
        <w:rPr>
          <w:rFonts w:ascii="Arial" w:hAnsi="Arial" w:cs="Arial"/>
          <w:i/>
          <w:color w:val="212121"/>
          <w:sz w:val="22"/>
          <w:szCs w:val="24"/>
        </w:rPr>
        <w:t>.  The Institute has observed this to be a problem while reviewing UR and IMR reviewer determinations</w:t>
      </w:r>
      <w:r w:rsidR="00440799">
        <w:rPr>
          <w:rFonts w:ascii="Arial" w:hAnsi="Arial" w:cs="Arial"/>
          <w:i/>
          <w:color w:val="212121"/>
          <w:sz w:val="22"/>
          <w:szCs w:val="24"/>
        </w:rPr>
        <w:t>, where it is</w:t>
      </w:r>
      <w:r>
        <w:rPr>
          <w:rFonts w:ascii="Arial" w:hAnsi="Arial" w:cs="Arial"/>
          <w:i/>
          <w:color w:val="212121"/>
          <w:sz w:val="22"/>
          <w:szCs w:val="24"/>
        </w:rPr>
        <w:t xml:space="preserve"> often unclear whether the ODG version adopted into the MTUS or the current version of ODG’s guidelines</w:t>
      </w:r>
      <w:r w:rsidR="00440799">
        <w:rPr>
          <w:rFonts w:ascii="Arial" w:hAnsi="Arial" w:cs="Arial"/>
          <w:i/>
          <w:color w:val="212121"/>
          <w:sz w:val="22"/>
          <w:szCs w:val="24"/>
        </w:rPr>
        <w:t xml:space="preserve"> is being cited,</w:t>
      </w:r>
      <w:r>
        <w:rPr>
          <w:rFonts w:ascii="Arial" w:hAnsi="Arial" w:cs="Arial"/>
          <w:i/>
          <w:color w:val="212121"/>
          <w:sz w:val="22"/>
          <w:szCs w:val="24"/>
        </w:rPr>
        <w:t>.</w:t>
      </w:r>
    </w:p>
    <w:p w:rsidR="006916E7" w:rsidRDefault="006916E7" w:rsidP="00091894">
      <w:pPr>
        <w:keepLines/>
        <w:tabs>
          <w:tab w:val="left" w:pos="900"/>
        </w:tabs>
        <w:rPr>
          <w:rFonts w:ascii="Arial" w:hAnsi="Arial" w:cs="Arial"/>
          <w:sz w:val="22"/>
          <w:szCs w:val="22"/>
        </w:rPr>
      </w:pPr>
    </w:p>
    <w:p w:rsidR="0093469F" w:rsidRDefault="0093469F" w:rsidP="0093469F">
      <w:pPr>
        <w:keepLines/>
        <w:tabs>
          <w:tab w:val="left" w:pos="900"/>
        </w:tabs>
        <w:rPr>
          <w:rFonts w:ascii="Arial" w:hAnsi="Arial" w:cs="Arial"/>
          <w:sz w:val="22"/>
          <w:szCs w:val="22"/>
          <w:highlight w:val="cyan"/>
        </w:rPr>
      </w:pPr>
    </w:p>
    <w:p w:rsidR="0093469F" w:rsidRPr="00512F93" w:rsidRDefault="00512F93" w:rsidP="0093469F">
      <w:pPr>
        <w:keepLines/>
        <w:tabs>
          <w:tab w:val="left" w:pos="900"/>
        </w:tabs>
        <w:rPr>
          <w:rFonts w:ascii="Arial" w:hAnsi="Arial" w:cs="Arial"/>
          <w:b/>
          <w:sz w:val="22"/>
          <w:szCs w:val="22"/>
        </w:rPr>
      </w:pPr>
      <w:r w:rsidRPr="00512F93">
        <w:rPr>
          <w:rFonts w:ascii="Arial" w:hAnsi="Arial" w:cs="Arial"/>
          <w:b/>
          <w:sz w:val="22"/>
          <w:szCs w:val="22"/>
        </w:rPr>
        <w:t>Specific Recommendations to Chronic Pain Medical Treatment Guidelines</w:t>
      </w:r>
      <w:r>
        <w:rPr>
          <w:rFonts w:ascii="Arial" w:hAnsi="Arial" w:cs="Arial"/>
          <w:b/>
          <w:sz w:val="22"/>
          <w:szCs w:val="22"/>
        </w:rPr>
        <w:t xml:space="preserve"> </w:t>
      </w:r>
    </w:p>
    <w:p w:rsidR="001C7825" w:rsidRDefault="001C7825" w:rsidP="001C7825">
      <w:pPr>
        <w:keepLines/>
        <w:tabs>
          <w:tab w:val="left" w:pos="900"/>
        </w:tabs>
        <w:rPr>
          <w:rFonts w:ascii="Arial" w:hAnsi="Arial" w:cs="Arial"/>
          <w:color w:val="auto"/>
          <w:spacing w:val="-5"/>
          <w:sz w:val="22"/>
          <w:szCs w:val="22"/>
        </w:rPr>
      </w:pPr>
      <w:r w:rsidRPr="003B0ADF">
        <w:rPr>
          <w:rFonts w:ascii="Arial" w:hAnsi="Arial" w:cs="Arial"/>
          <w:color w:val="auto"/>
          <w:spacing w:val="-5"/>
          <w:sz w:val="22"/>
          <w:szCs w:val="22"/>
        </w:rPr>
        <w:t xml:space="preserve">Recommended revisions </w:t>
      </w:r>
      <w:r>
        <w:rPr>
          <w:rFonts w:ascii="Arial" w:hAnsi="Arial" w:cs="Arial"/>
          <w:color w:val="auto"/>
          <w:spacing w:val="-5"/>
          <w:sz w:val="22"/>
          <w:szCs w:val="22"/>
        </w:rPr>
        <w:t xml:space="preserve">to Part 1, and sample revisions </w:t>
      </w:r>
      <w:r w:rsidRPr="003B0ADF">
        <w:rPr>
          <w:rFonts w:ascii="Arial" w:hAnsi="Arial" w:cs="Arial"/>
          <w:color w:val="auto"/>
          <w:spacing w:val="-5"/>
          <w:sz w:val="22"/>
          <w:szCs w:val="22"/>
        </w:rPr>
        <w:t xml:space="preserve">to the proposed </w:t>
      </w:r>
      <w:r>
        <w:rPr>
          <w:rFonts w:ascii="Arial" w:hAnsi="Arial" w:cs="Arial"/>
          <w:color w:val="auto"/>
          <w:spacing w:val="-5"/>
          <w:sz w:val="22"/>
          <w:szCs w:val="22"/>
        </w:rPr>
        <w:t>guidelines</w:t>
      </w:r>
      <w:r w:rsidRPr="003B0ADF">
        <w:rPr>
          <w:rFonts w:ascii="Arial" w:hAnsi="Arial" w:cs="Arial"/>
          <w:color w:val="auto"/>
          <w:spacing w:val="-5"/>
          <w:sz w:val="22"/>
          <w:szCs w:val="22"/>
        </w:rPr>
        <w:t xml:space="preserve"> </w:t>
      </w:r>
      <w:r>
        <w:rPr>
          <w:rFonts w:ascii="Arial" w:hAnsi="Arial" w:cs="Arial"/>
          <w:color w:val="auto"/>
          <w:spacing w:val="-5"/>
          <w:sz w:val="22"/>
          <w:szCs w:val="22"/>
        </w:rPr>
        <w:t>in Part 2</w:t>
      </w:r>
      <w:r w:rsidR="0085754B">
        <w:rPr>
          <w:rFonts w:ascii="Arial" w:hAnsi="Arial" w:cs="Arial"/>
          <w:color w:val="auto"/>
          <w:spacing w:val="-5"/>
          <w:sz w:val="22"/>
          <w:szCs w:val="22"/>
        </w:rPr>
        <w:t>,</w:t>
      </w:r>
      <w:r>
        <w:rPr>
          <w:rFonts w:ascii="Arial" w:hAnsi="Arial" w:cs="Arial"/>
          <w:color w:val="auto"/>
          <w:spacing w:val="-5"/>
          <w:sz w:val="22"/>
          <w:szCs w:val="22"/>
        </w:rPr>
        <w:t xml:space="preserve"> </w:t>
      </w:r>
      <w:r w:rsidRPr="003B0ADF">
        <w:rPr>
          <w:rFonts w:ascii="Arial" w:hAnsi="Arial" w:cs="Arial"/>
          <w:color w:val="auto"/>
          <w:spacing w:val="-5"/>
          <w:sz w:val="22"/>
          <w:szCs w:val="22"/>
        </w:rPr>
        <w:t xml:space="preserve">are indicated </w:t>
      </w:r>
      <w:r w:rsidR="002171E0" w:rsidRPr="003B0ADF">
        <w:rPr>
          <w:rFonts w:ascii="Arial" w:hAnsi="Arial" w:cs="Arial"/>
          <w:color w:val="auto"/>
          <w:spacing w:val="-5"/>
          <w:sz w:val="22"/>
          <w:szCs w:val="22"/>
        </w:rPr>
        <w:t xml:space="preserve">by highlighted </w:t>
      </w:r>
      <w:r w:rsidR="002171E0" w:rsidRPr="003B0ADF">
        <w:rPr>
          <w:rFonts w:ascii="Arial" w:hAnsi="Arial" w:cs="Arial"/>
          <w:color w:val="auto"/>
          <w:sz w:val="22"/>
          <w:szCs w:val="22"/>
          <w:highlight w:val="yellow"/>
          <w:u w:val="single"/>
        </w:rPr>
        <w:t>underscore</w:t>
      </w:r>
      <w:r w:rsidR="002171E0" w:rsidRPr="003B0ADF">
        <w:rPr>
          <w:rFonts w:ascii="Arial" w:hAnsi="Arial" w:cs="Arial"/>
          <w:color w:val="auto"/>
          <w:spacing w:val="-5"/>
          <w:sz w:val="22"/>
          <w:szCs w:val="22"/>
        </w:rPr>
        <w:t xml:space="preserve"> and </w:t>
      </w:r>
      <w:r w:rsidR="002171E0" w:rsidRPr="003B0ADF">
        <w:rPr>
          <w:rFonts w:ascii="Arial" w:hAnsi="Arial" w:cs="Arial"/>
          <w:strike/>
          <w:color w:val="auto"/>
          <w:sz w:val="22"/>
          <w:szCs w:val="22"/>
          <w:highlight w:val="yellow"/>
        </w:rPr>
        <w:t>strikeout</w:t>
      </w:r>
      <w:r w:rsidR="002171E0">
        <w:rPr>
          <w:rFonts w:ascii="Arial" w:hAnsi="Arial" w:cs="Arial"/>
          <w:color w:val="auto"/>
          <w:spacing w:val="-5"/>
          <w:sz w:val="22"/>
          <w:szCs w:val="22"/>
        </w:rPr>
        <w:t xml:space="preserve"> </w:t>
      </w:r>
      <w:r>
        <w:rPr>
          <w:rFonts w:ascii="Arial" w:hAnsi="Arial" w:cs="Arial"/>
          <w:color w:val="auto"/>
          <w:spacing w:val="-5"/>
          <w:sz w:val="22"/>
          <w:szCs w:val="22"/>
        </w:rPr>
        <w:t xml:space="preserve">in the </w:t>
      </w:r>
      <w:r w:rsidR="00971667">
        <w:rPr>
          <w:rFonts w:ascii="Arial" w:hAnsi="Arial" w:cs="Arial"/>
          <w:color w:val="auto"/>
          <w:spacing w:val="-5"/>
          <w:sz w:val="22"/>
          <w:szCs w:val="22"/>
        </w:rPr>
        <w:t xml:space="preserve">excerpts from the </w:t>
      </w:r>
      <w:r>
        <w:rPr>
          <w:rFonts w:ascii="Arial" w:hAnsi="Arial" w:cs="Arial"/>
          <w:color w:val="auto"/>
          <w:spacing w:val="-5"/>
          <w:sz w:val="22"/>
          <w:szCs w:val="22"/>
        </w:rPr>
        <w:t xml:space="preserve">Chronic Pain Medical Treatment Guidelines document </w:t>
      </w:r>
      <w:r w:rsidR="002171E0">
        <w:rPr>
          <w:rFonts w:ascii="Arial" w:hAnsi="Arial" w:cs="Arial"/>
          <w:color w:val="auto"/>
          <w:spacing w:val="-5"/>
          <w:sz w:val="22"/>
          <w:szCs w:val="22"/>
        </w:rPr>
        <w:t>submitted with this testimony</w:t>
      </w:r>
      <w:r w:rsidRPr="003B0ADF">
        <w:rPr>
          <w:rFonts w:ascii="Arial" w:hAnsi="Arial" w:cs="Arial"/>
          <w:color w:val="auto"/>
          <w:spacing w:val="-5"/>
          <w:sz w:val="22"/>
          <w:szCs w:val="22"/>
        </w:rPr>
        <w:t>.  Comments and discussion are indented and identified by</w:t>
      </w:r>
      <w:r>
        <w:rPr>
          <w:rFonts w:ascii="Arial" w:hAnsi="Arial" w:cs="Arial"/>
          <w:color w:val="auto"/>
          <w:spacing w:val="-5"/>
          <w:sz w:val="22"/>
          <w:szCs w:val="22"/>
        </w:rPr>
        <w:t xml:space="preserve"> </w:t>
      </w:r>
      <w:r w:rsidR="003318DA" w:rsidRPr="003318DA">
        <w:rPr>
          <w:rFonts w:ascii="Arial" w:hAnsi="Arial" w:cs="Arial"/>
          <w:i/>
          <w:color w:val="auto"/>
          <w:spacing w:val="-5"/>
          <w:sz w:val="22"/>
          <w:szCs w:val="22"/>
        </w:rPr>
        <w:t>italicized text</w:t>
      </w:r>
      <w:r w:rsidR="003318DA" w:rsidRPr="003318DA">
        <w:rPr>
          <w:rFonts w:ascii="Arial" w:hAnsi="Arial" w:cs="Arial"/>
          <w:color w:val="auto"/>
          <w:spacing w:val="-5"/>
          <w:sz w:val="22"/>
          <w:szCs w:val="22"/>
        </w:rPr>
        <w:t xml:space="preserve"> </w:t>
      </w:r>
      <w:r w:rsidR="003318DA">
        <w:rPr>
          <w:rFonts w:ascii="Arial" w:hAnsi="Arial" w:cs="Arial"/>
          <w:color w:val="auto"/>
          <w:spacing w:val="-5"/>
          <w:sz w:val="22"/>
          <w:szCs w:val="22"/>
        </w:rPr>
        <w:t xml:space="preserve">and </w:t>
      </w:r>
      <w:r>
        <w:rPr>
          <w:rFonts w:ascii="Arial" w:hAnsi="Arial" w:cs="Arial"/>
          <w:color w:val="auto"/>
          <w:spacing w:val="-5"/>
          <w:sz w:val="22"/>
          <w:szCs w:val="22"/>
        </w:rPr>
        <w:t>highlighted</w:t>
      </w:r>
      <w:r w:rsidRPr="003B0ADF">
        <w:rPr>
          <w:rFonts w:ascii="Arial" w:hAnsi="Arial" w:cs="Arial"/>
          <w:color w:val="auto"/>
          <w:spacing w:val="-5"/>
          <w:sz w:val="22"/>
          <w:szCs w:val="22"/>
        </w:rPr>
        <w:t xml:space="preserve"> </w:t>
      </w:r>
      <w:r w:rsidRPr="00C0132B">
        <w:rPr>
          <w:rFonts w:ascii="Arial" w:hAnsi="Arial" w:cs="Arial"/>
          <w:i/>
          <w:color w:val="auto"/>
          <w:sz w:val="22"/>
          <w:szCs w:val="22"/>
          <w:highlight w:val="lightGray"/>
        </w:rPr>
        <w:t>italicized text</w:t>
      </w:r>
      <w:r>
        <w:rPr>
          <w:rFonts w:ascii="Arial" w:hAnsi="Arial" w:cs="Arial"/>
          <w:i/>
          <w:color w:val="auto"/>
          <w:sz w:val="22"/>
          <w:szCs w:val="22"/>
        </w:rPr>
        <w:t xml:space="preserve">.  Samples of text recommended for transfer into a “Recommendation” column in the Part 2 table are indicated by </w:t>
      </w:r>
      <w:r w:rsidRPr="00205B1A">
        <w:rPr>
          <w:rFonts w:ascii="Arial" w:hAnsi="Arial" w:cs="Arial"/>
          <w:i/>
          <w:color w:val="auto"/>
          <w:sz w:val="22"/>
          <w:szCs w:val="22"/>
        </w:rPr>
        <w:t xml:space="preserve">colored </w:t>
      </w:r>
      <w:r w:rsidRPr="00DF4265">
        <w:rPr>
          <w:rFonts w:ascii="Arial" w:hAnsi="Arial" w:cs="Arial"/>
          <w:color w:val="C0504D" w:themeColor="accent2"/>
          <w:sz w:val="22"/>
          <w:szCs w:val="22"/>
        </w:rPr>
        <w:t>text</w:t>
      </w:r>
      <w:r w:rsidR="003318DA" w:rsidRPr="00DF4265">
        <w:rPr>
          <w:rFonts w:ascii="Arial" w:hAnsi="Arial" w:cs="Arial"/>
          <w:color w:val="C0504D" w:themeColor="accent2"/>
          <w:sz w:val="22"/>
          <w:szCs w:val="22"/>
        </w:rPr>
        <w:t xml:space="preserve"> </w:t>
      </w:r>
      <w:r w:rsidR="003318DA" w:rsidRPr="003318DA">
        <w:rPr>
          <w:rFonts w:ascii="Arial" w:hAnsi="Arial" w:cs="Arial"/>
          <w:i/>
          <w:color w:val="auto"/>
          <w:sz w:val="22"/>
          <w:szCs w:val="22"/>
        </w:rPr>
        <w:t>and highlighted</w:t>
      </w:r>
      <w:r w:rsidR="003318DA">
        <w:rPr>
          <w:rFonts w:ascii="Arial" w:hAnsi="Arial" w:cs="Arial"/>
          <w:i/>
          <w:color w:val="auto"/>
          <w:sz w:val="22"/>
          <w:szCs w:val="22"/>
        </w:rPr>
        <w:t xml:space="preserve"> colored </w:t>
      </w:r>
      <w:r w:rsidR="003318DA" w:rsidRPr="00DF4265">
        <w:rPr>
          <w:rFonts w:ascii="Arial" w:hAnsi="Arial" w:cs="Arial"/>
          <w:color w:val="C0504D" w:themeColor="accent2"/>
          <w:sz w:val="22"/>
          <w:szCs w:val="22"/>
          <w:highlight w:val="yellow"/>
        </w:rPr>
        <w:t>text</w:t>
      </w:r>
      <w:r>
        <w:rPr>
          <w:rFonts w:ascii="Arial" w:hAnsi="Arial" w:cs="Arial"/>
          <w:i/>
          <w:color w:val="auto"/>
          <w:sz w:val="22"/>
          <w:szCs w:val="22"/>
        </w:rPr>
        <w:t>.</w:t>
      </w:r>
      <w:r w:rsidRPr="003B0ADF">
        <w:rPr>
          <w:rFonts w:ascii="Arial" w:hAnsi="Arial" w:cs="Arial"/>
          <w:color w:val="auto"/>
          <w:spacing w:val="-5"/>
          <w:sz w:val="22"/>
          <w:szCs w:val="22"/>
        </w:rPr>
        <w:t xml:space="preserve"> </w:t>
      </w:r>
    </w:p>
    <w:p w:rsidR="001C7825" w:rsidRDefault="001C7825" w:rsidP="001C7825">
      <w:pPr>
        <w:keepLines/>
        <w:tabs>
          <w:tab w:val="left" w:pos="900"/>
        </w:tabs>
        <w:rPr>
          <w:rFonts w:ascii="Arial" w:hAnsi="Arial" w:cs="Arial"/>
          <w:color w:val="auto"/>
          <w:spacing w:val="-5"/>
          <w:sz w:val="22"/>
          <w:szCs w:val="22"/>
        </w:rPr>
      </w:pPr>
    </w:p>
    <w:p w:rsidR="001E04C3" w:rsidRDefault="008D7D1E" w:rsidP="009D70C4">
      <w:pPr>
        <w:jc w:val="both"/>
        <w:rPr>
          <w:rFonts w:ascii="Arial" w:hAnsi="Arial" w:cs="Arial"/>
          <w:color w:val="auto"/>
          <w:sz w:val="22"/>
          <w:szCs w:val="24"/>
        </w:rPr>
      </w:pPr>
      <w:r w:rsidRPr="008D7D1E">
        <w:rPr>
          <w:rFonts w:ascii="Arial" w:hAnsi="Arial" w:cs="Arial"/>
          <w:color w:val="auto"/>
          <w:sz w:val="22"/>
          <w:szCs w:val="24"/>
        </w:rPr>
        <w:t xml:space="preserve">Also note specific recommendations </w:t>
      </w:r>
      <w:r w:rsidR="00CF71D1">
        <w:rPr>
          <w:rFonts w:ascii="Arial" w:hAnsi="Arial" w:cs="Arial"/>
          <w:color w:val="auto"/>
          <w:sz w:val="22"/>
          <w:szCs w:val="24"/>
        </w:rPr>
        <w:t xml:space="preserve">on pages numbered 48, 52 and 54 </w:t>
      </w:r>
      <w:r>
        <w:rPr>
          <w:rFonts w:ascii="Arial" w:hAnsi="Arial" w:cs="Arial"/>
          <w:color w:val="auto"/>
          <w:sz w:val="22"/>
          <w:szCs w:val="24"/>
        </w:rPr>
        <w:t>under the Chronic Pain/Functional Restoration Program heading that are recommended to clarify and strengthen criteria for outpatient and inpatient pain rehabilitation programs.</w:t>
      </w:r>
    </w:p>
    <w:p w:rsidR="007629A5" w:rsidRPr="008D7D1E" w:rsidRDefault="007629A5" w:rsidP="009D70C4">
      <w:pPr>
        <w:jc w:val="both"/>
        <w:rPr>
          <w:rFonts w:ascii="Arial" w:hAnsi="Arial" w:cs="Arial"/>
          <w:color w:val="auto"/>
          <w:sz w:val="22"/>
          <w:szCs w:val="24"/>
        </w:rPr>
      </w:pPr>
    </w:p>
    <w:p w:rsidR="00AD2464" w:rsidRDefault="00AD2464" w:rsidP="009D70C4">
      <w:pPr>
        <w:jc w:val="both"/>
        <w:rPr>
          <w:rFonts w:ascii="Arial" w:hAnsi="Arial" w:cs="Arial"/>
          <w:b/>
          <w:color w:val="auto"/>
          <w:sz w:val="22"/>
          <w:szCs w:val="24"/>
        </w:rPr>
      </w:pPr>
    </w:p>
    <w:p w:rsidR="007629A5" w:rsidRDefault="007629A5" w:rsidP="009D70C4">
      <w:pPr>
        <w:jc w:val="both"/>
        <w:rPr>
          <w:rFonts w:ascii="Arial" w:hAnsi="Arial" w:cs="Arial"/>
          <w:b/>
          <w:color w:val="auto"/>
          <w:sz w:val="22"/>
          <w:szCs w:val="24"/>
        </w:rPr>
      </w:pPr>
    </w:p>
    <w:p w:rsidR="00AD2464" w:rsidRDefault="00AD2464" w:rsidP="00AD2464">
      <w:pPr>
        <w:keepLines/>
        <w:tabs>
          <w:tab w:val="left" w:pos="900"/>
        </w:tabs>
        <w:jc w:val="center"/>
        <w:rPr>
          <w:rFonts w:ascii="Arial" w:hAnsi="Arial" w:cs="Arial"/>
          <w:b/>
          <w:color w:val="252525"/>
          <w:szCs w:val="24"/>
        </w:rPr>
      </w:pPr>
      <w:r>
        <w:rPr>
          <w:rFonts w:ascii="Arial" w:hAnsi="Arial" w:cs="Arial"/>
          <w:b/>
          <w:color w:val="252525"/>
          <w:szCs w:val="24"/>
        </w:rPr>
        <w:t>Opioids</w:t>
      </w:r>
      <w:r w:rsidRPr="00AD2464">
        <w:rPr>
          <w:rFonts w:ascii="Arial" w:hAnsi="Arial" w:cs="Arial"/>
          <w:b/>
          <w:color w:val="252525"/>
          <w:szCs w:val="24"/>
        </w:rPr>
        <w:t xml:space="preserve"> Treatment Guidelines</w:t>
      </w:r>
    </w:p>
    <w:p w:rsidR="00AD2464" w:rsidRPr="00AD2464" w:rsidRDefault="00AD2464" w:rsidP="00AD2464">
      <w:pPr>
        <w:keepLines/>
        <w:tabs>
          <w:tab w:val="left" w:pos="900"/>
        </w:tabs>
        <w:jc w:val="center"/>
        <w:rPr>
          <w:rFonts w:ascii="Arial" w:hAnsi="Arial" w:cs="Arial"/>
          <w:szCs w:val="22"/>
          <w:highlight w:val="cyan"/>
        </w:rPr>
      </w:pPr>
    </w:p>
    <w:p w:rsidR="009D70C4" w:rsidRPr="008D7852" w:rsidRDefault="009D70C4" w:rsidP="009D70C4">
      <w:pPr>
        <w:jc w:val="both"/>
        <w:rPr>
          <w:rFonts w:ascii="Arial" w:hAnsi="Arial" w:cs="Arial"/>
          <w:color w:val="auto"/>
          <w:sz w:val="22"/>
          <w:szCs w:val="24"/>
        </w:rPr>
      </w:pPr>
      <w:proofErr w:type="gramStart"/>
      <w:r w:rsidRPr="008D7852">
        <w:rPr>
          <w:rFonts w:ascii="Arial" w:hAnsi="Arial" w:cs="Arial"/>
          <w:b/>
          <w:color w:val="auto"/>
          <w:sz w:val="22"/>
          <w:szCs w:val="24"/>
        </w:rPr>
        <w:t>§ 9792.24.4.</w:t>
      </w:r>
      <w:proofErr w:type="gramEnd"/>
      <w:r w:rsidRPr="008D7852">
        <w:rPr>
          <w:rFonts w:ascii="Arial" w:hAnsi="Arial" w:cs="Arial"/>
          <w:b/>
          <w:color w:val="auto"/>
          <w:sz w:val="22"/>
          <w:szCs w:val="24"/>
        </w:rPr>
        <w:t xml:space="preserve"> Opioids Treatment Guidelines</w:t>
      </w:r>
    </w:p>
    <w:p w:rsidR="009D70C4" w:rsidRPr="009D70C4" w:rsidRDefault="00CC002B" w:rsidP="00CC002B">
      <w:pPr>
        <w:shd w:val="clear" w:color="auto" w:fill="FFFFFF"/>
        <w:spacing w:line="360" w:lineRule="atLeast"/>
        <w:rPr>
          <w:rFonts w:ascii="Arial" w:hAnsi="Arial" w:cs="Arial"/>
          <w:b/>
          <w:color w:val="252525"/>
          <w:sz w:val="22"/>
          <w:szCs w:val="24"/>
        </w:rPr>
      </w:pPr>
      <w:r w:rsidRPr="00CC002B">
        <w:rPr>
          <w:rFonts w:ascii="Arial" w:hAnsi="Arial" w:cs="Arial"/>
          <w:b/>
          <w:color w:val="252525"/>
          <w:sz w:val="22"/>
          <w:szCs w:val="24"/>
        </w:rPr>
        <w:t>Recommendation</w:t>
      </w:r>
    </w:p>
    <w:p w:rsidR="009D70C4" w:rsidRPr="009D70C4" w:rsidRDefault="009D70C4" w:rsidP="00A764FA">
      <w:pPr>
        <w:jc w:val="both"/>
        <w:rPr>
          <w:rFonts w:ascii="Arial" w:hAnsi="Arial" w:cs="Arial"/>
          <w:color w:val="auto"/>
          <w:sz w:val="22"/>
          <w:szCs w:val="24"/>
          <w:u w:val="single"/>
        </w:rPr>
      </w:pPr>
      <w:r w:rsidRPr="009D70C4">
        <w:rPr>
          <w:rFonts w:ascii="Arial" w:hAnsi="Arial" w:cs="Arial"/>
          <w:color w:val="auto"/>
          <w:sz w:val="22"/>
          <w:szCs w:val="24"/>
          <w:u w:val="single"/>
        </w:rPr>
        <w:t xml:space="preserve">(b) The Opioids Treatment Guidelines describe the appropriate use of opioid medications </w:t>
      </w:r>
      <w:r w:rsidRPr="009D70C4">
        <w:rPr>
          <w:rFonts w:ascii="Arial" w:hAnsi="Arial" w:cs="Arial"/>
          <w:color w:val="auto"/>
          <w:sz w:val="22"/>
          <w:szCs w:val="24"/>
          <w:highlight w:val="yellow"/>
          <w:u w:val="single"/>
        </w:rPr>
        <w:t xml:space="preserve">during </w:t>
      </w:r>
      <w:r w:rsidR="00F7524C">
        <w:rPr>
          <w:rFonts w:ascii="Arial" w:hAnsi="Arial" w:cs="Arial"/>
          <w:color w:val="auto"/>
          <w:sz w:val="22"/>
          <w:szCs w:val="24"/>
          <w:highlight w:val="yellow"/>
          <w:u w:val="single"/>
        </w:rPr>
        <w:t xml:space="preserve">all </w:t>
      </w:r>
      <w:r w:rsidRPr="009D70C4">
        <w:rPr>
          <w:rFonts w:ascii="Arial" w:hAnsi="Arial" w:cs="Arial"/>
          <w:color w:val="auto"/>
          <w:sz w:val="22"/>
          <w:szCs w:val="24"/>
          <w:highlight w:val="yellow"/>
          <w:u w:val="single"/>
        </w:rPr>
        <w:t>treatment, including</w:t>
      </w:r>
      <w:r w:rsidRPr="009D70C4">
        <w:rPr>
          <w:rFonts w:ascii="Arial" w:hAnsi="Arial" w:cs="Arial"/>
          <w:color w:val="auto"/>
          <w:sz w:val="22"/>
          <w:szCs w:val="24"/>
          <w:u w:val="single"/>
        </w:rPr>
        <w:t xml:space="preserve"> treatment as part of an overall multidisciplinary treatment regimen for acute, sub-acute, post-operative, and chronic non-cancer pain.  These guidelines apply when alternative therapies do not provide adequate pain relief and the use of opioid medications is being considered as part of the treatment regimen. </w:t>
      </w:r>
    </w:p>
    <w:p w:rsidR="00730E59" w:rsidRDefault="00730E59" w:rsidP="009D70C4">
      <w:pPr>
        <w:jc w:val="both"/>
        <w:rPr>
          <w:rFonts w:ascii="Arial" w:hAnsi="Arial" w:cs="Arial"/>
          <w:b/>
          <w:color w:val="auto"/>
          <w:sz w:val="22"/>
          <w:szCs w:val="24"/>
        </w:rPr>
      </w:pPr>
    </w:p>
    <w:p w:rsidR="00730E59" w:rsidRDefault="00730E59" w:rsidP="009D70C4">
      <w:pPr>
        <w:jc w:val="both"/>
        <w:rPr>
          <w:rFonts w:ascii="Arial" w:hAnsi="Arial" w:cs="Arial"/>
          <w:b/>
          <w:color w:val="auto"/>
          <w:sz w:val="22"/>
          <w:szCs w:val="24"/>
        </w:rPr>
      </w:pPr>
    </w:p>
    <w:p w:rsidR="009D70C4" w:rsidRPr="009D70C4" w:rsidRDefault="008A2D63" w:rsidP="009D70C4">
      <w:pPr>
        <w:jc w:val="both"/>
        <w:rPr>
          <w:rFonts w:ascii="Arial" w:hAnsi="Arial" w:cs="Arial"/>
          <w:b/>
          <w:color w:val="auto"/>
          <w:sz w:val="22"/>
          <w:szCs w:val="24"/>
        </w:rPr>
      </w:pPr>
      <w:r w:rsidRPr="008A2D63">
        <w:rPr>
          <w:rFonts w:ascii="Arial" w:hAnsi="Arial" w:cs="Arial"/>
          <w:b/>
          <w:color w:val="auto"/>
          <w:sz w:val="22"/>
          <w:szCs w:val="24"/>
        </w:rPr>
        <w:t>Discussion</w:t>
      </w:r>
    </w:p>
    <w:p w:rsidR="009D70C4" w:rsidRPr="0085754B" w:rsidRDefault="009D70C4" w:rsidP="0085754B">
      <w:pPr>
        <w:ind w:left="360"/>
        <w:rPr>
          <w:rFonts w:ascii="Arial" w:hAnsi="Arial" w:cs="Arial"/>
          <w:i/>
          <w:color w:val="212121"/>
          <w:sz w:val="22"/>
          <w:szCs w:val="24"/>
        </w:rPr>
      </w:pPr>
      <w:r w:rsidRPr="0085754B">
        <w:rPr>
          <w:rFonts w:ascii="Arial" w:hAnsi="Arial" w:cs="Arial"/>
          <w:i/>
          <w:color w:val="212121"/>
          <w:sz w:val="22"/>
          <w:szCs w:val="24"/>
        </w:rPr>
        <w:t xml:space="preserve">The modification </w:t>
      </w:r>
      <w:r w:rsidR="00C46000" w:rsidRPr="0085754B">
        <w:rPr>
          <w:rFonts w:ascii="Arial" w:hAnsi="Arial" w:cs="Arial"/>
          <w:i/>
          <w:color w:val="212121"/>
          <w:sz w:val="22"/>
          <w:szCs w:val="24"/>
        </w:rPr>
        <w:t xml:space="preserve">recommended </w:t>
      </w:r>
      <w:r w:rsidRPr="0085754B">
        <w:rPr>
          <w:rFonts w:ascii="Arial" w:hAnsi="Arial" w:cs="Arial"/>
          <w:i/>
          <w:color w:val="212121"/>
          <w:sz w:val="22"/>
          <w:szCs w:val="24"/>
        </w:rPr>
        <w:t xml:space="preserve">will clarify that the Opioid Treatment Guidelines are not limited to treatment provided as a part of a multidisciplinary treatment regimen, but are applicable in all treatment </w:t>
      </w:r>
      <w:r w:rsidR="008C608F" w:rsidRPr="0085754B">
        <w:rPr>
          <w:rFonts w:ascii="Arial" w:hAnsi="Arial" w:cs="Arial"/>
          <w:i/>
          <w:color w:val="212121"/>
          <w:sz w:val="22"/>
          <w:szCs w:val="24"/>
        </w:rPr>
        <w:t>regimens, including</w:t>
      </w:r>
      <w:r w:rsidRPr="0085754B">
        <w:rPr>
          <w:rFonts w:ascii="Arial" w:hAnsi="Arial" w:cs="Arial"/>
          <w:i/>
          <w:color w:val="212121"/>
          <w:sz w:val="22"/>
          <w:szCs w:val="24"/>
        </w:rPr>
        <w:t xml:space="preserve"> </w:t>
      </w:r>
      <w:r w:rsidR="008C608F" w:rsidRPr="0085754B">
        <w:rPr>
          <w:rFonts w:ascii="Arial" w:hAnsi="Arial" w:cs="Arial"/>
          <w:i/>
          <w:color w:val="212121"/>
          <w:sz w:val="22"/>
          <w:szCs w:val="24"/>
        </w:rPr>
        <w:t xml:space="preserve">when treatment is provided by a </w:t>
      </w:r>
      <w:r w:rsidRPr="0085754B">
        <w:rPr>
          <w:rFonts w:ascii="Arial" w:hAnsi="Arial" w:cs="Arial"/>
          <w:i/>
          <w:color w:val="212121"/>
          <w:sz w:val="22"/>
          <w:szCs w:val="24"/>
        </w:rPr>
        <w:t>single physician in a single discipline.</w:t>
      </w:r>
    </w:p>
    <w:p w:rsidR="009D70C4" w:rsidRDefault="009D70C4" w:rsidP="00DE2768">
      <w:pPr>
        <w:keepLines/>
        <w:tabs>
          <w:tab w:val="left" w:pos="900"/>
        </w:tabs>
        <w:rPr>
          <w:rFonts w:ascii="Arial" w:hAnsi="Arial" w:cs="Arial"/>
          <w:sz w:val="22"/>
          <w:szCs w:val="22"/>
        </w:rPr>
      </w:pPr>
    </w:p>
    <w:p w:rsidR="00022C9B" w:rsidRDefault="00022C9B" w:rsidP="00DE2768">
      <w:pPr>
        <w:keepLines/>
        <w:tabs>
          <w:tab w:val="left" w:pos="900"/>
        </w:tabs>
        <w:rPr>
          <w:rFonts w:ascii="Arial" w:hAnsi="Arial" w:cs="Arial"/>
          <w:sz w:val="22"/>
          <w:szCs w:val="22"/>
        </w:rPr>
      </w:pPr>
    </w:p>
    <w:p w:rsidR="00F33B67" w:rsidRDefault="00F33B67" w:rsidP="00E44D9F">
      <w:pPr>
        <w:autoSpaceDN w:val="0"/>
        <w:rPr>
          <w:rFonts w:ascii="Arial" w:eastAsia="Calibri" w:hAnsi="Arial" w:cs="Arial"/>
          <w:b/>
          <w:color w:val="auto"/>
          <w:sz w:val="22"/>
          <w:szCs w:val="24"/>
        </w:rPr>
      </w:pPr>
    </w:p>
    <w:p w:rsidR="00F33B67" w:rsidRDefault="00F33B67" w:rsidP="00E44D9F">
      <w:pPr>
        <w:autoSpaceDN w:val="0"/>
        <w:rPr>
          <w:rFonts w:ascii="Arial" w:eastAsia="Calibri" w:hAnsi="Arial" w:cs="Arial"/>
          <w:b/>
          <w:color w:val="auto"/>
          <w:sz w:val="22"/>
          <w:szCs w:val="24"/>
        </w:rPr>
      </w:pPr>
    </w:p>
    <w:p w:rsidR="00F33B67" w:rsidRDefault="00F33B67" w:rsidP="00E44D9F">
      <w:pPr>
        <w:autoSpaceDN w:val="0"/>
        <w:rPr>
          <w:rFonts w:ascii="Arial" w:eastAsia="Calibri" w:hAnsi="Arial" w:cs="Arial"/>
          <w:b/>
          <w:color w:val="auto"/>
          <w:sz w:val="22"/>
          <w:szCs w:val="24"/>
        </w:rPr>
      </w:pPr>
    </w:p>
    <w:p w:rsidR="00F33B67" w:rsidRDefault="00F33B67" w:rsidP="00E44D9F">
      <w:pPr>
        <w:autoSpaceDN w:val="0"/>
        <w:rPr>
          <w:rFonts w:ascii="Arial" w:eastAsia="Calibri" w:hAnsi="Arial" w:cs="Arial"/>
          <w:b/>
          <w:color w:val="auto"/>
          <w:sz w:val="22"/>
          <w:szCs w:val="24"/>
        </w:rPr>
      </w:pPr>
    </w:p>
    <w:p w:rsidR="00E44D9F" w:rsidRPr="008D7852" w:rsidRDefault="00E44D9F" w:rsidP="00E44D9F">
      <w:pPr>
        <w:autoSpaceDN w:val="0"/>
        <w:rPr>
          <w:rFonts w:ascii="Arial" w:eastAsia="Calibri" w:hAnsi="Arial" w:cs="Arial"/>
          <w:color w:val="auto"/>
          <w:sz w:val="22"/>
          <w:szCs w:val="24"/>
        </w:rPr>
      </w:pPr>
      <w:r w:rsidRPr="008D7852">
        <w:rPr>
          <w:rFonts w:ascii="Arial" w:eastAsia="Calibri" w:hAnsi="Arial" w:cs="Arial"/>
          <w:b/>
          <w:color w:val="auto"/>
          <w:sz w:val="22"/>
          <w:szCs w:val="24"/>
        </w:rPr>
        <w:lastRenderedPageBreak/>
        <w:t>Summary of Recommendations</w:t>
      </w:r>
      <w:r w:rsidRPr="008D7852">
        <w:rPr>
          <w:rFonts w:ascii="Arial" w:eastAsia="Calibri" w:hAnsi="Arial" w:cs="Arial"/>
          <w:color w:val="auto"/>
          <w:sz w:val="22"/>
          <w:szCs w:val="24"/>
        </w:rPr>
        <w:t xml:space="preserve"> </w:t>
      </w:r>
    </w:p>
    <w:p w:rsidR="00F33B67" w:rsidRDefault="008F5DDE" w:rsidP="00E44D9F">
      <w:pPr>
        <w:autoSpaceDN w:val="0"/>
        <w:rPr>
          <w:rFonts w:ascii="Arial" w:eastAsia="Calibri" w:hAnsi="Arial" w:cs="Arial"/>
          <w:color w:val="auto"/>
          <w:sz w:val="22"/>
          <w:szCs w:val="24"/>
        </w:rPr>
      </w:pPr>
      <w:r>
        <w:rPr>
          <w:rFonts w:ascii="Arial" w:eastAsia="Calibri" w:hAnsi="Arial" w:cs="Arial"/>
          <w:color w:val="auto"/>
          <w:sz w:val="22"/>
          <w:szCs w:val="24"/>
        </w:rPr>
        <w:t>The Institute recognizes that the Division has invested many hours and resources draft</w:t>
      </w:r>
      <w:r w:rsidR="004E66FD">
        <w:rPr>
          <w:rFonts w:ascii="Arial" w:eastAsia="Calibri" w:hAnsi="Arial" w:cs="Arial"/>
          <w:color w:val="auto"/>
          <w:sz w:val="22"/>
          <w:szCs w:val="24"/>
        </w:rPr>
        <w:t>ing</w:t>
      </w:r>
      <w:r>
        <w:rPr>
          <w:rFonts w:ascii="Arial" w:eastAsia="Calibri" w:hAnsi="Arial" w:cs="Arial"/>
          <w:color w:val="auto"/>
          <w:sz w:val="22"/>
          <w:szCs w:val="24"/>
        </w:rPr>
        <w:t xml:space="preserve"> its own separate</w:t>
      </w:r>
      <w:r w:rsidR="0078228C">
        <w:rPr>
          <w:rFonts w:ascii="Arial" w:eastAsia="Calibri" w:hAnsi="Arial" w:cs="Arial"/>
          <w:color w:val="auto"/>
          <w:sz w:val="22"/>
          <w:szCs w:val="24"/>
        </w:rPr>
        <w:t xml:space="preserve"> </w:t>
      </w:r>
      <w:r>
        <w:rPr>
          <w:rFonts w:ascii="Arial" w:eastAsia="Calibri" w:hAnsi="Arial" w:cs="Arial"/>
          <w:color w:val="auto"/>
          <w:sz w:val="22"/>
          <w:szCs w:val="24"/>
        </w:rPr>
        <w:t>opioids guideline</w:t>
      </w:r>
      <w:r w:rsidR="00BC195E">
        <w:rPr>
          <w:rFonts w:ascii="Arial" w:eastAsia="Calibri" w:hAnsi="Arial" w:cs="Arial"/>
          <w:color w:val="auto"/>
          <w:sz w:val="22"/>
          <w:szCs w:val="24"/>
        </w:rPr>
        <w:t xml:space="preserve">.  </w:t>
      </w:r>
      <w:r w:rsidR="008E5D45">
        <w:rPr>
          <w:rFonts w:ascii="Arial" w:eastAsia="Calibri" w:hAnsi="Arial" w:cs="Arial"/>
          <w:color w:val="auto"/>
          <w:sz w:val="22"/>
          <w:szCs w:val="24"/>
        </w:rPr>
        <w:t>The guideline is good</w:t>
      </w:r>
      <w:r w:rsidR="00F971C2">
        <w:rPr>
          <w:rFonts w:ascii="Arial" w:eastAsia="Calibri" w:hAnsi="Arial" w:cs="Arial"/>
          <w:color w:val="auto"/>
          <w:sz w:val="22"/>
          <w:szCs w:val="24"/>
        </w:rPr>
        <w:t>, but in many respects, t</w:t>
      </w:r>
      <w:r w:rsidR="00E44D9F" w:rsidRPr="00E44D9F">
        <w:rPr>
          <w:rFonts w:ascii="Arial" w:eastAsia="Calibri" w:hAnsi="Arial" w:cs="Arial"/>
          <w:color w:val="auto"/>
          <w:sz w:val="22"/>
          <w:szCs w:val="24"/>
        </w:rPr>
        <w:t xml:space="preserve">he ACOEM V.3 </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Opioid Treatment Guideline (2014)</w:t>
      </w:r>
      <w:r w:rsidR="004E66FD">
        <w:rPr>
          <w:rFonts w:ascii="Arial" w:eastAsia="Calibri" w:hAnsi="Arial" w:cs="Arial"/>
          <w:color w:val="auto"/>
          <w:sz w:val="22"/>
          <w:szCs w:val="24"/>
        </w:rPr>
        <w:t xml:space="preserve"> </w:t>
      </w:r>
      <w:r w:rsidR="004E66FD" w:rsidRPr="00E44D9F">
        <w:rPr>
          <w:rFonts w:ascii="Arial" w:eastAsia="Calibri" w:hAnsi="Arial" w:cs="Arial"/>
          <w:color w:val="auto"/>
          <w:sz w:val="22"/>
          <w:szCs w:val="24"/>
        </w:rPr>
        <w:t>is</w:t>
      </w:r>
      <w:r w:rsidR="00BC195E">
        <w:rPr>
          <w:rFonts w:ascii="Arial" w:eastAsia="Calibri" w:hAnsi="Arial" w:cs="Arial"/>
          <w:color w:val="auto"/>
          <w:sz w:val="22"/>
          <w:szCs w:val="24"/>
        </w:rPr>
        <w:t xml:space="preserve"> </w:t>
      </w:r>
      <w:r w:rsidR="009B710D">
        <w:rPr>
          <w:rFonts w:ascii="Arial" w:eastAsia="Calibri" w:hAnsi="Arial" w:cs="Arial"/>
          <w:color w:val="auto"/>
          <w:sz w:val="22"/>
          <w:szCs w:val="24"/>
        </w:rPr>
        <w:t>better than</w:t>
      </w:r>
      <w:r w:rsidRPr="00E44D9F">
        <w:rPr>
          <w:rFonts w:ascii="Arial" w:eastAsia="Calibri" w:hAnsi="Arial" w:cs="Arial"/>
          <w:color w:val="auto"/>
          <w:sz w:val="22"/>
          <w:szCs w:val="24"/>
        </w:rPr>
        <w:t xml:space="preserve"> </w:t>
      </w:r>
      <w:r w:rsidR="006A0F16">
        <w:rPr>
          <w:rFonts w:ascii="Arial" w:eastAsia="Calibri" w:hAnsi="Arial" w:cs="Arial"/>
          <w:color w:val="auto"/>
          <w:sz w:val="22"/>
          <w:szCs w:val="24"/>
        </w:rPr>
        <w:t>th</w:t>
      </w:r>
      <w:r w:rsidR="00F971C2">
        <w:rPr>
          <w:rFonts w:ascii="Arial" w:eastAsia="Calibri" w:hAnsi="Arial" w:cs="Arial"/>
          <w:color w:val="auto"/>
          <w:sz w:val="22"/>
          <w:szCs w:val="24"/>
        </w:rPr>
        <w:t>e</w:t>
      </w:r>
      <w:r w:rsidRPr="00E44D9F">
        <w:rPr>
          <w:rFonts w:ascii="Arial" w:eastAsia="Calibri" w:hAnsi="Arial" w:cs="Arial"/>
          <w:color w:val="auto"/>
          <w:sz w:val="22"/>
          <w:szCs w:val="24"/>
        </w:rPr>
        <w:t xml:space="preserve"> </w:t>
      </w:r>
      <w:r w:rsidR="00591E8E">
        <w:rPr>
          <w:rFonts w:ascii="Arial" w:eastAsia="Calibri" w:hAnsi="Arial" w:cs="Arial"/>
          <w:color w:val="auto"/>
          <w:sz w:val="22"/>
          <w:szCs w:val="24"/>
        </w:rPr>
        <w:t>proposed</w:t>
      </w:r>
      <w:r w:rsidRPr="00E44D9F">
        <w:rPr>
          <w:rFonts w:ascii="Arial" w:eastAsia="Calibri" w:hAnsi="Arial" w:cs="Arial"/>
          <w:color w:val="auto"/>
          <w:sz w:val="22"/>
          <w:szCs w:val="24"/>
        </w:rPr>
        <w:t xml:space="preserve"> </w:t>
      </w:r>
      <w:r w:rsidR="006A0F16">
        <w:rPr>
          <w:rFonts w:ascii="Arial" w:eastAsia="Calibri" w:hAnsi="Arial" w:cs="Arial"/>
          <w:color w:val="auto"/>
          <w:sz w:val="22"/>
          <w:szCs w:val="24"/>
        </w:rPr>
        <w:t xml:space="preserve">Opioids Treatment </w:t>
      </w:r>
      <w:r w:rsidRPr="00E44D9F">
        <w:rPr>
          <w:rFonts w:ascii="Arial" w:eastAsia="Calibri" w:hAnsi="Arial" w:cs="Arial"/>
          <w:color w:val="auto"/>
          <w:sz w:val="22"/>
          <w:szCs w:val="24"/>
        </w:rPr>
        <w:t>Guideline</w:t>
      </w:r>
      <w:r w:rsidR="006A0F16">
        <w:rPr>
          <w:rFonts w:ascii="Arial" w:eastAsia="Calibri" w:hAnsi="Arial" w:cs="Arial"/>
          <w:color w:val="auto"/>
          <w:sz w:val="22"/>
          <w:szCs w:val="24"/>
        </w:rPr>
        <w:t xml:space="preserve"> and the other guidelines reviewed</w:t>
      </w:r>
      <w:r w:rsidR="00F971C2">
        <w:rPr>
          <w:rFonts w:ascii="Arial" w:eastAsia="Calibri" w:hAnsi="Arial" w:cs="Arial"/>
          <w:color w:val="auto"/>
          <w:sz w:val="22"/>
          <w:szCs w:val="24"/>
        </w:rPr>
        <w:t>. T</w:t>
      </w:r>
      <w:r w:rsidR="0078228C">
        <w:rPr>
          <w:rFonts w:ascii="Arial" w:eastAsia="Calibri" w:hAnsi="Arial" w:cs="Arial"/>
          <w:color w:val="auto"/>
          <w:sz w:val="22"/>
          <w:szCs w:val="24"/>
        </w:rPr>
        <w:t>herefore</w:t>
      </w:r>
      <w:r w:rsidR="00F971C2">
        <w:rPr>
          <w:rFonts w:ascii="Arial" w:eastAsia="Calibri" w:hAnsi="Arial" w:cs="Arial"/>
          <w:color w:val="auto"/>
          <w:sz w:val="22"/>
          <w:szCs w:val="24"/>
        </w:rPr>
        <w:t>,</w:t>
      </w:r>
      <w:r w:rsidR="0078228C">
        <w:rPr>
          <w:rFonts w:ascii="Arial" w:eastAsia="Calibri" w:hAnsi="Arial" w:cs="Arial"/>
          <w:color w:val="auto"/>
          <w:sz w:val="22"/>
          <w:szCs w:val="24"/>
        </w:rPr>
        <w:t xml:space="preserve"> the Institute</w:t>
      </w:r>
      <w:r w:rsidR="00775457">
        <w:rPr>
          <w:rFonts w:ascii="Arial" w:eastAsia="Calibri" w:hAnsi="Arial" w:cs="Arial"/>
          <w:color w:val="auto"/>
          <w:sz w:val="22"/>
          <w:szCs w:val="24"/>
        </w:rPr>
        <w:t xml:space="preserve"> </w:t>
      </w:r>
      <w:r w:rsidR="0078228C">
        <w:rPr>
          <w:rFonts w:ascii="Arial" w:eastAsia="Calibri" w:hAnsi="Arial" w:cs="Arial"/>
          <w:color w:val="auto"/>
          <w:sz w:val="22"/>
          <w:szCs w:val="24"/>
        </w:rPr>
        <w:t>urges the Administrative Director to consider adopting</w:t>
      </w:r>
      <w:r w:rsidR="00775457">
        <w:rPr>
          <w:rFonts w:ascii="Arial" w:eastAsia="Calibri" w:hAnsi="Arial" w:cs="Arial"/>
          <w:color w:val="auto"/>
          <w:sz w:val="22"/>
          <w:szCs w:val="24"/>
        </w:rPr>
        <w:t xml:space="preserve"> it</w:t>
      </w:r>
      <w:r w:rsidRPr="00E44D9F">
        <w:rPr>
          <w:rFonts w:ascii="Arial" w:eastAsia="Calibri" w:hAnsi="Arial" w:cs="Arial"/>
          <w:color w:val="auto"/>
          <w:sz w:val="22"/>
          <w:szCs w:val="24"/>
        </w:rPr>
        <w:t>.</w:t>
      </w:r>
      <w:r w:rsidR="00591E8E">
        <w:rPr>
          <w:rFonts w:ascii="Arial" w:eastAsia="Calibri" w:hAnsi="Arial" w:cs="Arial"/>
          <w:color w:val="auto"/>
          <w:sz w:val="22"/>
          <w:szCs w:val="24"/>
        </w:rPr>
        <w:t xml:space="preserve">  </w:t>
      </w:r>
      <w:r w:rsidR="00775457">
        <w:rPr>
          <w:rFonts w:ascii="Arial" w:eastAsia="Calibri" w:hAnsi="Arial" w:cs="Arial"/>
          <w:color w:val="auto"/>
          <w:sz w:val="22"/>
          <w:szCs w:val="24"/>
        </w:rPr>
        <w:t>I</w:t>
      </w:r>
      <w:r w:rsidR="006149D7">
        <w:rPr>
          <w:rFonts w:ascii="Arial" w:eastAsia="Calibri" w:hAnsi="Arial" w:cs="Arial"/>
          <w:color w:val="auto"/>
          <w:sz w:val="22"/>
          <w:szCs w:val="24"/>
        </w:rPr>
        <w:t>f</w:t>
      </w:r>
      <w:r w:rsidRPr="00E44D9F">
        <w:rPr>
          <w:rFonts w:ascii="Arial" w:eastAsia="Calibri" w:hAnsi="Arial" w:cs="Arial"/>
          <w:color w:val="auto"/>
          <w:sz w:val="22"/>
          <w:szCs w:val="24"/>
        </w:rPr>
        <w:t xml:space="preserve"> the Administrative Director </w:t>
      </w:r>
      <w:r w:rsidR="005D3A21">
        <w:rPr>
          <w:rFonts w:ascii="Arial" w:eastAsia="Calibri" w:hAnsi="Arial" w:cs="Arial"/>
          <w:color w:val="auto"/>
          <w:sz w:val="22"/>
          <w:szCs w:val="24"/>
        </w:rPr>
        <w:t>decides</w:t>
      </w:r>
      <w:r w:rsidRPr="00E44D9F">
        <w:rPr>
          <w:rFonts w:ascii="Arial" w:eastAsia="Calibri" w:hAnsi="Arial" w:cs="Arial"/>
          <w:color w:val="auto"/>
          <w:sz w:val="22"/>
          <w:szCs w:val="24"/>
        </w:rPr>
        <w:t xml:space="preserve"> not to </w:t>
      </w:r>
      <w:r w:rsidR="00775457">
        <w:rPr>
          <w:rFonts w:ascii="Arial" w:eastAsia="Calibri" w:hAnsi="Arial" w:cs="Arial"/>
          <w:color w:val="auto"/>
          <w:sz w:val="22"/>
          <w:szCs w:val="24"/>
        </w:rPr>
        <w:t>do so</w:t>
      </w:r>
      <w:r w:rsidRPr="00E44D9F">
        <w:rPr>
          <w:rFonts w:ascii="Arial" w:eastAsia="Calibri" w:hAnsi="Arial" w:cs="Arial"/>
          <w:color w:val="auto"/>
          <w:sz w:val="22"/>
          <w:szCs w:val="24"/>
        </w:rPr>
        <w:t xml:space="preserve">, the Institute </w:t>
      </w:r>
      <w:r w:rsidR="00775457">
        <w:rPr>
          <w:rFonts w:ascii="Arial" w:eastAsia="Calibri" w:hAnsi="Arial" w:cs="Arial"/>
          <w:color w:val="auto"/>
          <w:sz w:val="22"/>
          <w:szCs w:val="24"/>
        </w:rPr>
        <w:t>recommends</w:t>
      </w:r>
      <w:r w:rsidR="00591E8E">
        <w:rPr>
          <w:rFonts w:ascii="Arial" w:eastAsia="Calibri" w:hAnsi="Arial" w:cs="Arial"/>
          <w:color w:val="auto"/>
          <w:sz w:val="22"/>
          <w:szCs w:val="24"/>
        </w:rPr>
        <w:t xml:space="preserve"> the following </w:t>
      </w:r>
      <w:r w:rsidR="00775457">
        <w:rPr>
          <w:rFonts w:ascii="Arial" w:eastAsia="Calibri" w:hAnsi="Arial" w:cs="Arial"/>
          <w:color w:val="auto"/>
          <w:sz w:val="22"/>
          <w:szCs w:val="24"/>
        </w:rPr>
        <w:t>modifications to strengthen</w:t>
      </w:r>
      <w:r w:rsidR="00A71634">
        <w:rPr>
          <w:rFonts w:ascii="Arial" w:eastAsia="Calibri" w:hAnsi="Arial" w:cs="Arial"/>
          <w:color w:val="auto"/>
          <w:sz w:val="22"/>
          <w:szCs w:val="24"/>
        </w:rPr>
        <w:t xml:space="preserve"> the proposed Guideline</w:t>
      </w:r>
      <w:r w:rsidRPr="00E44D9F">
        <w:rPr>
          <w:rFonts w:ascii="Arial" w:eastAsia="Calibri" w:hAnsi="Arial" w:cs="Arial"/>
          <w:color w:val="auto"/>
          <w:sz w:val="22"/>
          <w:szCs w:val="24"/>
        </w:rPr>
        <w:t>:</w:t>
      </w:r>
    </w:p>
    <w:p w:rsidR="00E44D9F" w:rsidRDefault="00E44D9F" w:rsidP="00E44D9F">
      <w:pPr>
        <w:overflowPunct w:val="0"/>
        <w:autoSpaceDN w:val="0"/>
        <w:adjustRightInd w:val="0"/>
        <w:ind w:left="720"/>
        <w:rPr>
          <w:rFonts w:ascii="Arial" w:eastAsia="Calibri" w:hAnsi="Arial" w:cs="Arial"/>
          <w:color w:val="auto"/>
          <w:sz w:val="14"/>
        </w:rPr>
      </w:pPr>
    </w:p>
    <w:p w:rsidR="007C77E5" w:rsidRPr="00E44D9F" w:rsidRDefault="007C77E5" w:rsidP="00E44D9F">
      <w:pPr>
        <w:overflowPunct w:val="0"/>
        <w:autoSpaceDN w:val="0"/>
        <w:adjustRightInd w:val="0"/>
        <w:ind w:left="720"/>
        <w:rPr>
          <w:rFonts w:ascii="Arial" w:eastAsia="Calibri" w:hAnsi="Arial" w:cs="Arial"/>
          <w:color w:val="auto"/>
          <w:sz w:val="14"/>
        </w:rPr>
      </w:pPr>
    </w:p>
    <w:p w:rsidR="00E44D9F" w:rsidRPr="00E44D9F" w:rsidRDefault="00E44D9F" w:rsidP="00E44D9F">
      <w:pPr>
        <w:numPr>
          <w:ilvl w:val="0"/>
          <w:numId w:val="2"/>
        </w:numPr>
        <w:overflowPunct w:val="0"/>
        <w:autoSpaceDE w:val="0"/>
        <w:autoSpaceDN w:val="0"/>
        <w:adjustRightInd w:val="0"/>
        <w:rPr>
          <w:rFonts w:ascii="Arial" w:eastAsia="Calibri" w:hAnsi="Arial" w:cs="Arial"/>
          <w:color w:val="auto"/>
          <w:sz w:val="22"/>
        </w:rPr>
      </w:pPr>
      <w:r w:rsidRPr="00E44D9F">
        <w:rPr>
          <w:rFonts w:ascii="Arial" w:eastAsia="Calibri" w:hAnsi="Arial" w:cs="Arial"/>
          <w:color w:val="auto"/>
          <w:sz w:val="22"/>
        </w:rPr>
        <w:t>Replace “</w:t>
      </w:r>
      <w:r w:rsidR="00C364EF">
        <w:rPr>
          <w:rFonts w:ascii="Arial" w:eastAsia="Calibri" w:hAnsi="Arial" w:cs="Arial"/>
          <w:color w:val="auto"/>
          <w:sz w:val="22"/>
        </w:rPr>
        <w:t>should” with “shall” throughout</w:t>
      </w:r>
      <w:r w:rsidRPr="00E44D9F">
        <w:rPr>
          <w:rFonts w:ascii="Arial" w:eastAsia="Calibri" w:hAnsi="Arial" w:cs="Arial"/>
          <w:color w:val="auto"/>
          <w:sz w:val="22"/>
        </w:rPr>
        <w:t xml:space="preserve"> </w:t>
      </w:r>
    </w:p>
    <w:p w:rsidR="00E44D9F" w:rsidRPr="00E44D9F" w:rsidRDefault="00E44D9F" w:rsidP="00E44D9F">
      <w:pPr>
        <w:overflowPunct w:val="0"/>
        <w:autoSpaceDE w:val="0"/>
        <w:autoSpaceDN w:val="0"/>
        <w:adjustRightInd w:val="0"/>
        <w:ind w:left="720"/>
        <w:rPr>
          <w:rFonts w:ascii="Arial" w:eastAsia="Calibri" w:hAnsi="Arial" w:cs="Arial"/>
          <w:color w:val="auto"/>
          <w:sz w:val="14"/>
        </w:rPr>
      </w:pPr>
    </w:p>
    <w:p w:rsidR="00E44D9F" w:rsidRPr="00E44D9F" w:rsidRDefault="00E44D9F" w:rsidP="00E44D9F">
      <w:pPr>
        <w:numPr>
          <w:ilvl w:val="0"/>
          <w:numId w:val="2"/>
        </w:numPr>
        <w:overflowPunct w:val="0"/>
        <w:autoSpaceDE w:val="0"/>
        <w:autoSpaceDN w:val="0"/>
        <w:adjustRightInd w:val="0"/>
        <w:rPr>
          <w:rFonts w:ascii="Arial" w:eastAsia="Calibri" w:hAnsi="Arial" w:cs="Arial"/>
          <w:color w:val="auto"/>
          <w:sz w:val="22"/>
        </w:rPr>
      </w:pPr>
      <w:r w:rsidRPr="00E44D9F">
        <w:rPr>
          <w:rFonts w:ascii="Arial" w:eastAsia="Calibri" w:hAnsi="Arial" w:cs="Arial"/>
          <w:color w:val="auto"/>
          <w:sz w:val="22"/>
        </w:rPr>
        <w:t>Replace the</w:t>
      </w:r>
      <w:r w:rsidR="00C364EF">
        <w:rPr>
          <w:rFonts w:ascii="Arial" w:eastAsia="Calibri" w:hAnsi="Arial" w:cs="Arial"/>
          <w:color w:val="auto"/>
          <w:sz w:val="22"/>
        </w:rPr>
        <w:t xml:space="preserve"> 80mg/day MED with 50mg/day MED</w:t>
      </w:r>
    </w:p>
    <w:p w:rsidR="00E44D9F" w:rsidRPr="00E44D9F" w:rsidRDefault="00E44D9F" w:rsidP="00E44D9F">
      <w:pPr>
        <w:overflowPunct w:val="0"/>
        <w:autoSpaceDE w:val="0"/>
        <w:autoSpaceDN w:val="0"/>
        <w:adjustRightInd w:val="0"/>
        <w:ind w:left="720"/>
        <w:rPr>
          <w:rFonts w:ascii="Arial" w:eastAsia="Calibri" w:hAnsi="Arial" w:cs="Arial"/>
          <w:color w:val="auto"/>
          <w:sz w:val="14"/>
        </w:rPr>
      </w:pPr>
    </w:p>
    <w:p w:rsidR="00E44D9F" w:rsidRPr="00E44D9F" w:rsidRDefault="00E44D9F" w:rsidP="00E44D9F">
      <w:pPr>
        <w:numPr>
          <w:ilvl w:val="0"/>
          <w:numId w:val="2"/>
        </w:numPr>
        <w:overflowPunct w:val="0"/>
        <w:autoSpaceDE w:val="0"/>
        <w:autoSpaceDN w:val="0"/>
        <w:adjustRightInd w:val="0"/>
        <w:rPr>
          <w:rFonts w:ascii="Arial" w:eastAsia="Calibri" w:hAnsi="Arial" w:cs="Arial"/>
          <w:color w:val="auto"/>
          <w:sz w:val="22"/>
        </w:rPr>
      </w:pPr>
      <w:r w:rsidRPr="00E44D9F">
        <w:rPr>
          <w:rFonts w:ascii="Arial" w:eastAsia="Calibri" w:hAnsi="Arial" w:cs="Arial"/>
          <w:color w:val="auto"/>
          <w:sz w:val="22"/>
        </w:rPr>
        <w:t>Specify that employees shall be precluded from performing safety</w:t>
      </w:r>
      <w:r w:rsidR="00F971C2">
        <w:rPr>
          <w:rFonts w:ascii="Arial" w:eastAsia="Calibri" w:hAnsi="Arial" w:cs="Arial"/>
          <w:color w:val="auto"/>
          <w:sz w:val="22"/>
        </w:rPr>
        <w:t>-</w:t>
      </w:r>
      <w:r w:rsidRPr="00E44D9F">
        <w:rPr>
          <w:rFonts w:ascii="Arial" w:eastAsia="Calibri" w:hAnsi="Arial" w:cs="Arial"/>
          <w:color w:val="auto"/>
          <w:sz w:val="22"/>
        </w:rPr>
        <w:t>sensitive tasks such as driving and operating heavy</w:t>
      </w:r>
      <w:r w:rsidR="00C364EF">
        <w:rPr>
          <w:rFonts w:ascii="Arial" w:eastAsia="Calibri" w:hAnsi="Arial" w:cs="Arial"/>
          <w:color w:val="auto"/>
          <w:sz w:val="22"/>
        </w:rPr>
        <w:t xml:space="preserve"> machinery while taking opioids</w:t>
      </w:r>
    </w:p>
    <w:p w:rsidR="00E44D9F" w:rsidRPr="00E44D9F" w:rsidRDefault="00E44D9F" w:rsidP="00E44D9F">
      <w:pPr>
        <w:overflowPunct w:val="0"/>
        <w:autoSpaceDN w:val="0"/>
        <w:adjustRightInd w:val="0"/>
        <w:ind w:left="720"/>
        <w:rPr>
          <w:rFonts w:ascii="Arial" w:eastAsia="Calibri" w:hAnsi="Arial" w:cs="Arial"/>
          <w:color w:val="auto"/>
          <w:sz w:val="16"/>
        </w:rPr>
      </w:pPr>
    </w:p>
    <w:p w:rsidR="00E44D9F" w:rsidRPr="00E44D9F" w:rsidRDefault="00E44D9F" w:rsidP="00E44D9F">
      <w:pPr>
        <w:numPr>
          <w:ilvl w:val="0"/>
          <w:numId w:val="2"/>
        </w:numPr>
        <w:overflowPunct w:val="0"/>
        <w:autoSpaceDE w:val="0"/>
        <w:autoSpaceDN w:val="0"/>
        <w:adjustRightInd w:val="0"/>
        <w:rPr>
          <w:rFonts w:ascii="Arial" w:eastAsia="Calibri" w:hAnsi="Arial" w:cs="Arial"/>
          <w:color w:val="auto"/>
          <w:sz w:val="22"/>
        </w:rPr>
      </w:pPr>
      <w:r w:rsidRPr="00E44D9F">
        <w:rPr>
          <w:rFonts w:ascii="Arial" w:eastAsia="Calibri" w:hAnsi="Arial" w:cs="Arial"/>
          <w:color w:val="auto"/>
          <w:sz w:val="22"/>
        </w:rPr>
        <w:t>Consider prohibiting opioid dispensing fro</w:t>
      </w:r>
      <w:r w:rsidR="00C364EF">
        <w:rPr>
          <w:rFonts w:ascii="Arial" w:eastAsia="Calibri" w:hAnsi="Arial" w:cs="Arial"/>
          <w:color w:val="auto"/>
          <w:sz w:val="22"/>
        </w:rPr>
        <w:t>m physician offices and clinics</w:t>
      </w:r>
      <w:r w:rsidRPr="00E44D9F">
        <w:rPr>
          <w:rFonts w:ascii="Arial" w:eastAsia="Calibri" w:hAnsi="Arial" w:cs="Arial"/>
          <w:color w:val="auto"/>
          <w:sz w:val="22"/>
        </w:rPr>
        <w:t xml:space="preserve"> </w:t>
      </w:r>
    </w:p>
    <w:p w:rsidR="00E44D9F" w:rsidRPr="00E44D9F" w:rsidRDefault="00E44D9F" w:rsidP="00E44D9F">
      <w:pPr>
        <w:overflowPunct w:val="0"/>
        <w:autoSpaceDE w:val="0"/>
        <w:autoSpaceDN w:val="0"/>
        <w:adjustRightInd w:val="0"/>
        <w:ind w:left="720"/>
        <w:rPr>
          <w:rFonts w:ascii="Arial" w:eastAsia="Calibri" w:hAnsi="Arial" w:cs="Arial"/>
          <w:color w:val="auto"/>
          <w:sz w:val="16"/>
        </w:rPr>
      </w:pPr>
    </w:p>
    <w:p w:rsidR="00E44D9F" w:rsidRPr="00E44D9F" w:rsidRDefault="00E44D9F" w:rsidP="00E44D9F">
      <w:pPr>
        <w:numPr>
          <w:ilvl w:val="0"/>
          <w:numId w:val="2"/>
        </w:numPr>
        <w:overflowPunct w:val="0"/>
        <w:autoSpaceDE w:val="0"/>
        <w:autoSpaceDN w:val="0"/>
        <w:rPr>
          <w:rFonts w:ascii="Arial" w:hAnsi="Arial" w:cs="Arial"/>
          <w:color w:val="000000" w:themeColor="text1"/>
          <w:sz w:val="22"/>
          <w:szCs w:val="22"/>
        </w:rPr>
      </w:pPr>
      <w:r w:rsidRPr="00E44D9F">
        <w:rPr>
          <w:rFonts w:ascii="Arial" w:hAnsi="Arial" w:cs="Arial"/>
          <w:color w:val="000000" w:themeColor="text1"/>
          <w:sz w:val="22"/>
          <w:szCs w:val="22"/>
        </w:rPr>
        <w:t>Require the dispensing physician to consult CURES prior to prescribing opioids to assure that the injured worker has not been prescribed opioids (or had opioids dispensed from) multiple sources</w:t>
      </w:r>
      <w:r w:rsidR="00F971C2">
        <w:rPr>
          <w:rFonts w:ascii="Arial" w:hAnsi="Arial" w:cs="Arial"/>
          <w:color w:val="000000" w:themeColor="text1"/>
          <w:sz w:val="22"/>
          <w:szCs w:val="22"/>
        </w:rPr>
        <w:t>,</w:t>
      </w:r>
      <w:r w:rsidRPr="00E44D9F">
        <w:rPr>
          <w:rFonts w:ascii="Arial" w:hAnsi="Arial" w:cs="Arial"/>
          <w:color w:val="000000" w:themeColor="text1"/>
          <w:sz w:val="22"/>
          <w:szCs w:val="22"/>
        </w:rPr>
        <w:t xml:space="preserve"> and docum</w:t>
      </w:r>
      <w:r w:rsidR="00C364EF">
        <w:rPr>
          <w:rFonts w:ascii="Arial" w:hAnsi="Arial" w:cs="Arial"/>
          <w:color w:val="000000" w:themeColor="text1"/>
          <w:sz w:val="22"/>
          <w:szCs w:val="22"/>
        </w:rPr>
        <w:t xml:space="preserve">ent </w:t>
      </w:r>
      <w:r w:rsidR="00D2652F">
        <w:rPr>
          <w:rFonts w:ascii="Arial" w:hAnsi="Arial" w:cs="Arial"/>
          <w:color w:val="000000" w:themeColor="text1"/>
          <w:sz w:val="22"/>
          <w:szCs w:val="22"/>
        </w:rPr>
        <w:t xml:space="preserve">the results of the inquiry </w:t>
      </w:r>
      <w:r w:rsidR="00C364EF">
        <w:rPr>
          <w:rFonts w:ascii="Arial" w:hAnsi="Arial" w:cs="Arial"/>
          <w:color w:val="000000" w:themeColor="text1"/>
          <w:sz w:val="22"/>
          <w:szCs w:val="22"/>
        </w:rPr>
        <w:t>in the patient’s records</w:t>
      </w:r>
    </w:p>
    <w:p w:rsidR="00E44D9F" w:rsidRPr="00E44D9F" w:rsidRDefault="00E44D9F" w:rsidP="00E44D9F">
      <w:pPr>
        <w:overflowPunct w:val="0"/>
        <w:autoSpaceDE w:val="0"/>
        <w:autoSpaceDN w:val="0"/>
        <w:adjustRightInd w:val="0"/>
        <w:ind w:left="720"/>
        <w:rPr>
          <w:rFonts w:ascii="Arial" w:eastAsia="Calibri" w:hAnsi="Arial" w:cs="Arial"/>
          <w:color w:val="auto"/>
          <w:sz w:val="14"/>
        </w:rPr>
      </w:pPr>
    </w:p>
    <w:p w:rsidR="00E44D9F" w:rsidRPr="00E44D9F" w:rsidRDefault="00E44D9F" w:rsidP="00E44D9F">
      <w:pPr>
        <w:numPr>
          <w:ilvl w:val="0"/>
          <w:numId w:val="2"/>
        </w:numPr>
        <w:overflowPunct w:val="0"/>
        <w:autoSpaceDE w:val="0"/>
        <w:autoSpaceDN w:val="0"/>
        <w:adjustRightInd w:val="0"/>
        <w:rPr>
          <w:rFonts w:ascii="Arial" w:eastAsia="Calibri" w:hAnsi="Arial" w:cs="Arial"/>
          <w:color w:val="auto"/>
          <w:sz w:val="22"/>
        </w:rPr>
      </w:pPr>
      <w:r w:rsidRPr="00E44D9F">
        <w:rPr>
          <w:rFonts w:ascii="Arial" w:eastAsia="Calibri" w:hAnsi="Arial" w:cs="Arial"/>
          <w:color w:val="auto"/>
          <w:sz w:val="22"/>
        </w:rPr>
        <w:t>Specify “recommended”</w:t>
      </w:r>
      <w:r w:rsidR="00921FC3">
        <w:rPr>
          <w:rFonts w:ascii="Arial" w:eastAsia="Calibri" w:hAnsi="Arial" w:cs="Arial"/>
          <w:color w:val="auto"/>
          <w:sz w:val="22"/>
        </w:rPr>
        <w:t xml:space="preserve"> or </w:t>
      </w:r>
      <w:r w:rsidRPr="00E44D9F">
        <w:rPr>
          <w:rFonts w:ascii="Arial" w:eastAsia="Calibri" w:hAnsi="Arial" w:cs="Arial"/>
          <w:color w:val="auto"/>
          <w:sz w:val="22"/>
        </w:rPr>
        <w:t>“not recommended” and the strength of evidence/consensus for each recommendation.</w:t>
      </w:r>
    </w:p>
    <w:p w:rsidR="00E44D9F" w:rsidRPr="00E44D9F" w:rsidRDefault="00E44D9F" w:rsidP="00E44D9F">
      <w:pPr>
        <w:autoSpaceDN w:val="0"/>
        <w:rPr>
          <w:rFonts w:ascii="Arial" w:eastAsia="Calibri" w:hAnsi="Arial" w:cs="Arial"/>
          <w:color w:val="auto"/>
          <w:sz w:val="22"/>
          <w:szCs w:val="24"/>
        </w:rPr>
      </w:pP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 xml:space="preserve">The Institute urges the Division to consider adopting the ACOEM V.3 Opioid Treatment Guideline (2014) in lieu of the </w:t>
      </w:r>
      <w:r w:rsidR="00716447">
        <w:rPr>
          <w:rFonts w:ascii="Arial" w:eastAsia="Calibri" w:hAnsi="Arial" w:cs="Arial"/>
          <w:color w:val="auto"/>
          <w:sz w:val="22"/>
          <w:szCs w:val="24"/>
        </w:rPr>
        <w:t>propose</w:t>
      </w:r>
      <w:r w:rsidRPr="00E44D9F">
        <w:rPr>
          <w:rFonts w:ascii="Arial" w:eastAsia="Calibri" w:hAnsi="Arial" w:cs="Arial"/>
          <w:color w:val="auto"/>
          <w:sz w:val="22"/>
          <w:szCs w:val="24"/>
        </w:rPr>
        <w:t>d Guideline.</w:t>
      </w:r>
    </w:p>
    <w:p w:rsidR="00E44D9F" w:rsidRPr="00E44D9F" w:rsidRDefault="00E44D9F" w:rsidP="00E44D9F">
      <w:pPr>
        <w:autoSpaceDN w:val="0"/>
        <w:rPr>
          <w:rFonts w:ascii="Arial" w:eastAsia="Calibri" w:hAnsi="Arial" w:cs="Arial"/>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Discussion</w:t>
      </w:r>
    </w:p>
    <w:p w:rsidR="00FA68B8" w:rsidRPr="006A2BE5" w:rsidRDefault="00270EE2" w:rsidP="00322B75">
      <w:pPr>
        <w:autoSpaceDN w:val="0"/>
        <w:ind w:left="360"/>
        <w:rPr>
          <w:rFonts w:ascii="Arial" w:eastAsia="Calibri" w:hAnsi="Arial" w:cs="Arial"/>
          <w:i/>
          <w:color w:val="auto"/>
          <w:sz w:val="22"/>
          <w:szCs w:val="24"/>
        </w:rPr>
      </w:pPr>
      <w:r w:rsidRPr="006A2BE5">
        <w:rPr>
          <w:rFonts w:ascii="Arial" w:eastAsia="Calibri" w:hAnsi="Arial" w:cs="Arial"/>
          <w:i/>
          <w:color w:val="auto"/>
          <w:sz w:val="22"/>
          <w:szCs w:val="24"/>
        </w:rPr>
        <w:t xml:space="preserve">Labor Code section 4604.5 requires </w:t>
      </w:r>
      <w:r w:rsidR="00F971C2" w:rsidRPr="006A2BE5">
        <w:rPr>
          <w:rFonts w:ascii="Arial" w:eastAsia="Calibri" w:hAnsi="Arial" w:cs="Arial"/>
          <w:i/>
          <w:color w:val="auto"/>
          <w:sz w:val="22"/>
          <w:szCs w:val="24"/>
        </w:rPr>
        <w:t xml:space="preserve">that </w:t>
      </w:r>
      <w:r w:rsidRPr="006A2BE5">
        <w:rPr>
          <w:rFonts w:ascii="Arial" w:eastAsia="Calibri" w:hAnsi="Arial" w:cs="Arial"/>
          <w:i/>
          <w:color w:val="auto"/>
          <w:sz w:val="22"/>
          <w:szCs w:val="24"/>
        </w:rPr>
        <w:t>the recommended guidelines in the MTUS reflect practices that are evidence and scientifically based, nationally recognized, and peer reviewed</w:t>
      </w:r>
      <w:r w:rsidR="003E2936" w:rsidRPr="006A2BE5">
        <w:rPr>
          <w:rFonts w:ascii="Arial" w:eastAsia="Calibri" w:hAnsi="Arial" w:cs="Arial"/>
          <w:i/>
          <w:color w:val="auto"/>
          <w:sz w:val="22"/>
          <w:szCs w:val="24"/>
        </w:rPr>
        <w:t>.  T</w:t>
      </w:r>
      <w:r w:rsidR="00FA68B8" w:rsidRPr="006A2BE5">
        <w:rPr>
          <w:rFonts w:ascii="Arial" w:eastAsia="Calibri" w:hAnsi="Arial" w:cs="Arial"/>
          <w:i/>
          <w:color w:val="auto"/>
          <w:sz w:val="22"/>
          <w:szCs w:val="24"/>
        </w:rPr>
        <w:t>he proposed MTUS Opioids Treatment Guideline</w:t>
      </w:r>
      <w:r w:rsidR="003E2936" w:rsidRPr="006A2BE5">
        <w:rPr>
          <w:rFonts w:ascii="Arial" w:eastAsia="Calibri" w:hAnsi="Arial" w:cs="Arial"/>
          <w:i/>
          <w:color w:val="auto"/>
          <w:sz w:val="22"/>
          <w:szCs w:val="24"/>
        </w:rPr>
        <w:t>, however,</w:t>
      </w:r>
      <w:r w:rsidR="00FA68B8" w:rsidRPr="006A2BE5">
        <w:rPr>
          <w:rFonts w:ascii="Arial" w:eastAsia="Calibri" w:hAnsi="Arial" w:cs="Arial"/>
          <w:i/>
          <w:color w:val="auto"/>
          <w:sz w:val="22"/>
          <w:szCs w:val="24"/>
        </w:rPr>
        <w:t xml:space="preserve"> is based on recommendations </w:t>
      </w:r>
      <w:r w:rsidR="007A363B" w:rsidRPr="006A2BE5">
        <w:rPr>
          <w:rFonts w:ascii="Arial" w:eastAsia="Calibri" w:hAnsi="Arial" w:cs="Arial"/>
          <w:i/>
          <w:color w:val="auto"/>
          <w:sz w:val="22"/>
          <w:szCs w:val="24"/>
        </w:rPr>
        <w:t xml:space="preserve">found to be </w:t>
      </w:r>
      <w:r w:rsidR="00FA68B8" w:rsidRPr="006A2BE5">
        <w:rPr>
          <w:rFonts w:ascii="Arial" w:eastAsia="Calibri" w:hAnsi="Arial" w:cs="Arial"/>
          <w:i/>
          <w:color w:val="auto"/>
          <w:sz w:val="22"/>
          <w:szCs w:val="24"/>
        </w:rPr>
        <w:t xml:space="preserve">in common among other existing guidelines </w:t>
      </w:r>
      <w:r w:rsidR="003E2936" w:rsidRPr="006A2BE5">
        <w:rPr>
          <w:rFonts w:ascii="Arial" w:eastAsia="Calibri" w:hAnsi="Arial" w:cs="Arial"/>
          <w:i/>
          <w:color w:val="auto"/>
          <w:sz w:val="22"/>
          <w:szCs w:val="24"/>
        </w:rPr>
        <w:t>rather than</w:t>
      </w:r>
      <w:r w:rsidR="007A363B" w:rsidRPr="006A2BE5">
        <w:rPr>
          <w:rFonts w:ascii="Arial" w:eastAsia="Calibri" w:hAnsi="Arial" w:cs="Arial"/>
          <w:i/>
          <w:color w:val="auto"/>
          <w:sz w:val="22"/>
          <w:szCs w:val="24"/>
        </w:rPr>
        <w:t xml:space="preserve"> </w:t>
      </w:r>
      <w:r w:rsidR="00FA68B8" w:rsidRPr="006A2BE5">
        <w:rPr>
          <w:rFonts w:ascii="Arial" w:eastAsia="Calibri" w:hAnsi="Arial" w:cs="Arial"/>
          <w:i/>
          <w:color w:val="auto"/>
          <w:sz w:val="22"/>
          <w:szCs w:val="24"/>
        </w:rPr>
        <w:t xml:space="preserve">being a guideline that is based directly on the </w:t>
      </w:r>
      <w:r w:rsidR="00407F17" w:rsidRPr="006A2BE5">
        <w:rPr>
          <w:rFonts w:ascii="Arial" w:eastAsia="Calibri" w:hAnsi="Arial" w:cs="Arial"/>
          <w:i/>
          <w:color w:val="auto"/>
          <w:sz w:val="22"/>
          <w:szCs w:val="24"/>
        </w:rPr>
        <w:t xml:space="preserve">best </w:t>
      </w:r>
      <w:r w:rsidR="00B86322" w:rsidRPr="006A2BE5">
        <w:rPr>
          <w:rFonts w:ascii="Arial" w:eastAsia="Calibri" w:hAnsi="Arial" w:cs="Arial"/>
          <w:i/>
          <w:color w:val="auto"/>
          <w:sz w:val="22"/>
          <w:szCs w:val="24"/>
        </w:rPr>
        <w:t>scientifically based, nationally recognized, and peer reviewed current</w:t>
      </w:r>
      <w:r w:rsidR="00FA68B8" w:rsidRPr="006A2BE5">
        <w:rPr>
          <w:rFonts w:ascii="Arial" w:eastAsia="Calibri" w:hAnsi="Arial" w:cs="Arial"/>
          <w:i/>
          <w:color w:val="auto"/>
          <w:sz w:val="22"/>
          <w:szCs w:val="24"/>
        </w:rPr>
        <w:t xml:space="preserve"> medical evidence.  </w:t>
      </w:r>
    </w:p>
    <w:p w:rsidR="00FA68B8" w:rsidRPr="00322B75" w:rsidRDefault="00FA68B8" w:rsidP="006A2BE5">
      <w:pPr>
        <w:overflowPunct w:val="0"/>
        <w:autoSpaceDN w:val="0"/>
        <w:adjustRightInd w:val="0"/>
        <w:ind w:left="360"/>
        <w:rPr>
          <w:rFonts w:ascii="Arial" w:eastAsia="Calibri" w:hAnsi="Arial" w:cs="Arial"/>
          <w:i/>
          <w:color w:val="auto"/>
          <w:sz w:val="22"/>
        </w:rPr>
      </w:pPr>
    </w:p>
    <w:p w:rsidR="00841608" w:rsidRPr="00322B75" w:rsidRDefault="00841608" w:rsidP="00322B7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Adopting a single guideline that is based direct</w:t>
      </w:r>
      <w:r w:rsidR="0072205C" w:rsidRPr="00322B75">
        <w:rPr>
          <w:rFonts w:ascii="Arial" w:eastAsia="Calibri" w:hAnsi="Arial" w:cs="Arial"/>
          <w:i/>
          <w:color w:val="auto"/>
          <w:sz w:val="22"/>
          <w:szCs w:val="24"/>
        </w:rPr>
        <w:t>ly on</w:t>
      </w:r>
      <w:r w:rsidRPr="00322B75">
        <w:rPr>
          <w:rFonts w:ascii="Arial" w:eastAsia="Calibri" w:hAnsi="Arial" w:cs="Arial"/>
          <w:i/>
          <w:color w:val="auto"/>
          <w:sz w:val="22"/>
          <w:szCs w:val="24"/>
        </w:rPr>
        <w:t xml:space="preserve"> a review of available medical evidence offers the advantage of internal consistency, as opposed to a guideline that includes recommendations from disparate guidelines that are based on differ</w:t>
      </w:r>
      <w:r w:rsidR="00724D0A" w:rsidRPr="00322B75">
        <w:rPr>
          <w:rFonts w:ascii="Arial" w:eastAsia="Calibri" w:hAnsi="Arial" w:cs="Arial"/>
          <w:i/>
          <w:color w:val="auto"/>
          <w:sz w:val="22"/>
          <w:szCs w:val="24"/>
        </w:rPr>
        <w:t>ing</w:t>
      </w:r>
      <w:r w:rsidRPr="00322B75">
        <w:rPr>
          <w:rFonts w:ascii="Arial" w:eastAsia="Calibri" w:hAnsi="Arial" w:cs="Arial"/>
          <w:i/>
          <w:color w:val="auto"/>
          <w:sz w:val="22"/>
          <w:szCs w:val="24"/>
        </w:rPr>
        <w:t xml:space="preserve"> standards.  It also offers treating physicians and reviewers the efficiency of optional on-line interactive tools.</w:t>
      </w:r>
    </w:p>
    <w:p w:rsidR="00841608" w:rsidRDefault="00841608" w:rsidP="00322B75">
      <w:pPr>
        <w:autoSpaceDN w:val="0"/>
        <w:ind w:left="360"/>
        <w:rPr>
          <w:rFonts w:ascii="Arial" w:eastAsia="Calibri" w:hAnsi="Arial" w:cs="Arial"/>
          <w:i/>
          <w:color w:val="auto"/>
          <w:sz w:val="22"/>
          <w:szCs w:val="24"/>
        </w:rPr>
      </w:pPr>
    </w:p>
    <w:p w:rsidR="00730E59" w:rsidRDefault="00E44D9F" w:rsidP="00322B7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 xml:space="preserve">The ACOEM V.3 Opioid Treatment Guideline (2014) </w:t>
      </w:r>
      <w:r w:rsidR="00724D0A" w:rsidRPr="00322B75">
        <w:rPr>
          <w:rFonts w:ascii="Arial" w:eastAsia="Calibri" w:hAnsi="Arial" w:cs="Arial"/>
          <w:i/>
          <w:color w:val="auto"/>
          <w:sz w:val="22"/>
          <w:szCs w:val="24"/>
        </w:rPr>
        <w:t xml:space="preserve">was released in February, 2014 and </w:t>
      </w:r>
      <w:r w:rsidRPr="00322B75">
        <w:rPr>
          <w:rFonts w:ascii="Arial" w:eastAsia="Calibri" w:hAnsi="Arial" w:cs="Arial"/>
          <w:i/>
          <w:color w:val="auto"/>
          <w:sz w:val="22"/>
          <w:szCs w:val="24"/>
        </w:rPr>
        <w:t xml:space="preserve">is the most current </w:t>
      </w:r>
      <w:r w:rsidR="00724D0A" w:rsidRPr="00322B75">
        <w:rPr>
          <w:rFonts w:ascii="Arial" w:eastAsia="Calibri" w:hAnsi="Arial" w:cs="Arial"/>
          <w:i/>
          <w:color w:val="auto"/>
          <w:sz w:val="22"/>
          <w:szCs w:val="24"/>
        </w:rPr>
        <w:t xml:space="preserve">opioid treatment </w:t>
      </w:r>
      <w:r w:rsidRPr="00322B75">
        <w:rPr>
          <w:rFonts w:ascii="Arial" w:eastAsia="Calibri" w:hAnsi="Arial" w:cs="Arial"/>
          <w:i/>
          <w:color w:val="auto"/>
          <w:sz w:val="22"/>
          <w:szCs w:val="24"/>
        </w:rPr>
        <w:t xml:space="preserve">guideline available.  This </w:t>
      </w:r>
      <w:r w:rsidR="00645C1E" w:rsidRPr="00322B75">
        <w:rPr>
          <w:rFonts w:ascii="Arial" w:eastAsia="Calibri" w:hAnsi="Arial" w:cs="Arial"/>
          <w:i/>
          <w:color w:val="auto"/>
          <w:sz w:val="22"/>
          <w:szCs w:val="24"/>
        </w:rPr>
        <w:t xml:space="preserve">guideline </w:t>
      </w:r>
      <w:r w:rsidRPr="00322B75">
        <w:rPr>
          <w:rFonts w:ascii="Arial" w:eastAsia="Calibri" w:hAnsi="Arial" w:cs="Arial"/>
          <w:i/>
          <w:color w:val="auto"/>
          <w:sz w:val="22"/>
          <w:szCs w:val="24"/>
        </w:rPr>
        <w:t xml:space="preserve">is peer-reviewed and nationally recognized, and is based on a rigorous review of higher-grade medical evidence </w:t>
      </w:r>
    </w:p>
    <w:p w:rsidR="00E44D9F" w:rsidRPr="00322B75" w:rsidRDefault="00E44D9F" w:rsidP="00322B75">
      <w:pPr>
        <w:autoSpaceDN w:val="0"/>
        <w:ind w:left="360"/>
        <w:rPr>
          <w:rFonts w:ascii="Arial" w:eastAsia="Calibri" w:hAnsi="Arial" w:cs="Arial"/>
          <w:i/>
          <w:color w:val="auto"/>
          <w:sz w:val="22"/>
          <w:szCs w:val="24"/>
        </w:rPr>
      </w:pPr>
      <w:proofErr w:type="gramStart"/>
      <w:r w:rsidRPr="00322B75">
        <w:rPr>
          <w:rFonts w:ascii="Arial" w:eastAsia="Calibri" w:hAnsi="Arial" w:cs="Arial"/>
          <w:i/>
          <w:color w:val="auto"/>
          <w:sz w:val="22"/>
          <w:szCs w:val="24"/>
        </w:rPr>
        <w:t>and</w:t>
      </w:r>
      <w:proofErr w:type="gramEnd"/>
      <w:r w:rsidRPr="00322B75">
        <w:rPr>
          <w:rFonts w:ascii="Arial" w:eastAsia="Calibri" w:hAnsi="Arial" w:cs="Arial"/>
          <w:i/>
          <w:color w:val="auto"/>
          <w:sz w:val="22"/>
          <w:szCs w:val="24"/>
        </w:rPr>
        <w:t xml:space="preserve"> on expert consensus when higher-grade evidence was unavailable or inconsistent.  The </w:t>
      </w:r>
      <w:r w:rsidR="00645C1E" w:rsidRPr="00322B75">
        <w:rPr>
          <w:rFonts w:ascii="Arial" w:eastAsia="Calibri" w:hAnsi="Arial" w:cs="Arial"/>
          <w:i/>
          <w:color w:val="auto"/>
          <w:sz w:val="22"/>
          <w:szCs w:val="24"/>
        </w:rPr>
        <w:t>g</w:t>
      </w:r>
      <w:r w:rsidRPr="00322B75">
        <w:rPr>
          <w:rFonts w:ascii="Arial" w:eastAsia="Calibri" w:hAnsi="Arial" w:cs="Arial"/>
          <w:i/>
          <w:color w:val="auto"/>
          <w:sz w:val="22"/>
          <w:szCs w:val="24"/>
        </w:rPr>
        <w:t xml:space="preserve">uideline is user-friendly and suitable for use by treating physicians and reviewers.  It appears to be superior in most or all respects to the other guidelines reviewed, and to the DWC’s </w:t>
      </w:r>
      <w:r w:rsidR="00E45486" w:rsidRPr="00322B75">
        <w:rPr>
          <w:rFonts w:ascii="Arial" w:eastAsia="Calibri" w:hAnsi="Arial" w:cs="Arial"/>
          <w:i/>
          <w:color w:val="auto"/>
          <w:sz w:val="22"/>
          <w:szCs w:val="24"/>
        </w:rPr>
        <w:t>proposed</w:t>
      </w:r>
      <w:r w:rsidRPr="00322B75">
        <w:rPr>
          <w:rFonts w:ascii="Arial" w:eastAsia="Calibri" w:hAnsi="Arial" w:cs="Arial"/>
          <w:i/>
          <w:color w:val="auto"/>
          <w:sz w:val="22"/>
          <w:szCs w:val="24"/>
        </w:rPr>
        <w:t xml:space="preserve"> </w:t>
      </w:r>
      <w:r w:rsidR="00645C1E" w:rsidRPr="00322B75">
        <w:rPr>
          <w:rFonts w:ascii="Arial" w:eastAsia="Calibri" w:hAnsi="Arial" w:cs="Arial"/>
          <w:i/>
          <w:color w:val="auto"/>
          <w:sz w:val="22"/>
          <w:szCs w:val="24"/>
        </w:rPr>
        <w:t>g</w:t>
      </w:r>
      <w:r w:rsidRPr="00322B75">
        <w:rPr>
          <w:rFonts w:ascii="Arial" w:eastAsia="Calibri" w:hAnsi="Arial" w:cs="Arial"/>
          <w:i/>
          <w:color w:val="auto"/>
          <w:sz w:val="22"/>
          <w:szCs w:val="24"/>
        </w:rPr>
        <w:t xml:space="preserve">uideline.  </w:t>
      </w:r>
    </w:p>
    <w:p w:rsidR="00E44D9F" w:rsidRPr="00E44D9F" w:rsidRDefault="00E44D9F" w:rsidP="00E44D9F">
      <w:pPr>
        <w:autoSpaceDN w:val="0"/>
        <w:rPr>
          <w:rFonts w:ascii="Arial" w:eastAsia="Calibri" w:hAnsi="Arial" w:cs="Arial"/>
          <w:color w:val="auto"/>
          <w:sz w:val="22"/>
          <w:szCs w:val="24"/>
        </w:rPr>
      </w:pPr>
    </w:p>
    <w:p w:rsidR="00022C9B" w:rsidRPr="00E44D9F" w:rsidRDefault="00022C9B" w:rsidP="00E44D9F">
      <w:pPr>
        <w:autoSpaceDN w:val="0"/>
        <w:rPr>
          <w:rFonts w:ascii="Arial" w:eastAsia="Calibri" w:hAnsi="Arial" w:cs="Arial"/>
          <w:b/>
          <w:color w:val="auto"/>
          <w:sz w:val="22"/>
          <w:szCs w:val="24"/>
        </w:rPr>
      </w:pPr>
    </w:p>
    <w:p w:rsidR="00F33B67" w:rsidRDefault="00F33B67" w:rsidP="00E44D9F">
      <w:pPr>
        <w:autoSpaceDN w:val="0"/>
        <w:rPr>
          <w:rFonts w:ascii="Arial" w:eastAsia="Calibri" w:hAnsi="Arial" w:cs="Arial"/>
          <w:b/>
          <w:color w:val="auto"/>
          <w:sz w:val="22"/>
          <w:szCs w:val="24"/>
        </w:rPr>
      </w:pPr>
    </w:p>
    <w:p w:rsidR="00F33B67" w:rsidRDefault="00F33B67" w:rsidP="00E44D9F">
      <w:pPr>
        <w:autoSpaceDN w:val="0"/>
        <w:rPr>
          <w:rFonts w:ascii="Arial" w:eastAsia="Calibri" w:hAnsi="Arial" w:cs="Arial"/>
          <w:b/>
          <w:color w:val="auto"/>
          <w:sz w:val="22"/>
          <w:szCs w:val="24"/>
        </w:rPr>
      </w:pPr>
    </w:p>
    <w:p w:rsidR="00F33B67" w:rsidRDefault="00F33B67"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lastRenderedPageBreak/>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 xml:space="preserve">If the Administrative Director does not </w:t>
      </w:r>
      <w:r w:rsidR="00324640">
        <w:rPr>
          <w:rFonts w:ascii="Arial" w:eastAsia="Calibri" w:hAnsi="Arial" w:cs="Arial"/>
          <w:color w:val="auto"/>
          <w:sz w:val="22"/>
          <w:szCs w:val="24"/>
        </w:rPr>
        <w:t>consider</w:t>
      </w:r>
      <w:r w:rsidRPr="00E44D9F">
        <w:rPr>
          <w:rFonts w:ascii="Arial" w:eastAsia="Calibri" w:hAnsi="Arial" w:cs="Arial"/>
          <w:color w:val="auto"/>
          <w:sz w:val="22"/>
          <w:szCs w:val="24"/>
        </w:rPr>
        <w:t xml:space="preserve"> adopt</w:t>
      </w:r>
      <w:r w:rsidR="00324640">
        <w:rPr>
          <w:rFonts w:ascii="Arial" w:eastAsia="Calibri" w:hAnsi="Arial" w:cs="Arial"/>
          <w:color w:val="auto"/>
          <w:sz w:val="22"/>
          <w:szCs w:val="24"/>
        </w:rPr>
        <w:t>ing</w:t>
      </w:r>
      <w:r w:rsidRPr="00E44D9F">
        <w:rPr>
          <w:rFonts w:ascii="Arial" w:eastAsia="Calibri" w:hAnsi="Arial" w:cs="Arial"/>
          <w:color w:val="auto"/>
          <w:sz w:val="22"/>
          <w:szCs w:val="24"/>
        </w:rPr>
        <w:t xml:space="preserve"> the ACOEM V.3 Opioid Treatment Guideline (2014), </w:t>
      </w:r>
      <w:r w:rsidR="008B7DB5">
        <w:rPr>
          <w:rFonts w:ascii="Arial" w:eastAsia="Calibri" w:hAnsi="Arial" w:cs="Arial"/>
          <w:color w:val="auto"/>
          <w:sz w:val="22"/>
          <w:szCs w:val="24"/>
        </w:rPr>
        <w:t>in each instance where guideline recommendations are not in agreement,</w:t>
      </w:r>
      <w:r w:rsidR="008B7DB5" w:rsidRPr="00E44D9F">
        <w:rPr>
          <w:rFonts w:ascii="Arial" w:eastAsia="Calibri" w:hAnsi="Arial" w:cs="Arial"/>
          <w:color w:val="auto"/>
          <w:sz w:val="22"/>
          <w:szCs w:val="24"/>
        </w:rPr>
        <w:t xml:space="preserve"> </w:t>
      </w:r>
      <w:r w:rsidR="008B7DB5">
        <w:rPr>
          <w:rFonts w:ascii="Arial" w:eastAsia="Calibri" w:hAnsi="Arial" w:cs="Arial"/>
          <w:color w:val="auto"/>
          <w:sz w:val="22"/>
          <w:szCs w:val="24"/>
        </w:rPr>
        <w:t xml:space="preserve">the Institute recommends </w:t>
      </w:r>
      <w:r w:rsidR="001251FF">
        <w:rPr>
          <w:rFonts w:ascii="Arial" w:eastAsia="Calibri" w:hAnsi="Arial" w:cs="Arial"/>
          <w:color w:val="auto"/>
          <w:sz w:val="22"/>
          <w:szCs w:val="24"/>
        </w:rPr>
        <w:t xml:space="preserve">that the Division review the medical evidence, and </w:t>
      </w:r>
      <w:r w:rsidR="00C9540F">
        <w:rPr>
          <w:rFonts w:ascii="Arial" w:eastAsia="Calibri" w:hAnsi="Arial" w:cs="Arial"/>
          <w:color w:val="auto"/>
          <w:sz w:val="22"/>
          <w:szCs w:val="24"/>
        </w:rPr>
        <w:t>adopt</w:t>
      </w:r>
      <w:r w:rsidR="001251FF">
        <w:rPr>
          <w:rFonts w:ascii="Arial" w:eastAsia="Calibri" w:hAnsi="Arial" w:cs="Arial"/>
          <w:color w:val="auto"/>
          <w:sz w:val="22"/>
          <w:szCs w:val="24"/>
        </w:rPr>
        <w:t xml:space="preserve"> in its </w:t>
      </w:r>
      <w:r w:rsidR="00C9540F">
        <w:rPr>
          <w:rFonts w:ascii="Arial" w:eastAsia="Calibri" w:hAnsi="Arial" w:cs="Arial"/>
          <w:color w:val="auto"/>
          <w:sz w:val="22"/>
          <w:szCs w:val="24"/>
        </w:rPr>
        <w:t xml:space="preserve">guideline the recommendation that is based on the best available medical evidence. </w:t>
      </w:r>
      <w:r w:rsidR="001251FF">
        <w:rPr>
          <w:rFonts w:ascii="Arial" w:eastAsia="Calibri" w:hAnsi="Arial" w:cs="Arial"/>
          <w:color w:val="auto"/>
          <w:sz w:val="22"/>
          <w:szCs w:val="24"/>
        </w:rPr>
        <w:t xml:space="preserve"> </w:t>
      </w:r>
      <w:r w:rsidRPr="00E44D9F">
        <w:rPr>
          <w:rFonts w:ascii="Arial" w:eastAsia="Calibri" w:hAnsi="Arial" w:cs="Arial"/>
          <w:color w:val="auto"/>
          <w:sz w:val="22"/>
          <w:szCs w:val="24"/>
        </w:rPr>
        <w:t>The following specific revisions are particularly recommended:</w:t>
      </w:r>
    </w:p>
    <w:p w:rsidR="00F33B67" w:rsidRDefault="00F33B67" w:rsidP="00E44D9F">
      <w:pPr>
        <w:autoSpaceDN w:val="0"/>
        <w:rPr>
          <w:rFonts w:ascii="Arial" w:eastAsia="Calibri" w:hAnsi="Arial" w:cs="Arial"/>
          <w:b/>
          <w:color w:val="auto"/>
          <w:sz w:val="22"/>
          <w:szCs w:val="24"/>
        </w:rPr>
      </w:pPr>
    </w:p>
    <w:p w:rsidR="00F33B67" w:rsidRDefault="00F33B67"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 xml:space="preserve">Replace “should” with “shall.” </w:t>
      </w:r>
    </w:p>
    <w:p w:rsidR="007C77E5" w:rsidRPr="00E44D9F" w:rsidRDefault="007C77E5"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Discussion</w:t>
      </w:r>
    </w:p>
    <w:p w:rsidR="00E44D9F" w:rsidRPr="00322B75" w:rsidRDefault="00E44D9F" w:rsidP="00322B7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Regulations that say a certain action “should” occur can be ignored with impunity, leaving physicians who inappropriately prescribe opioids free to continue doing so.  In the context of utilization review such regulatory language is useless because it cannot be enforced.  To prevent inappropriate prescribing of opioids, and assure appropriate prescribing, the terms in opioid treatment guidelines adopted in regulation need to be prescriptive rather than permissive.  The purpose of the Medical Treatment Utilization Guideline is not only to suggest good practices to practicing physicians; it determines standards that define what is reasonably required under Labor Code section 4600.  In utilization review and independent medical review it is the standard used to protect an injured employee from deleterious and unnecessary medical care and to ensure the provision of appropriate medical care.  “</w:t>
      </w:r>
      <w:proofErr w:type="spellStart"/>
      <w:r w:rsidRPr="00322B75">
        <w:rPr>
          <w:rFonts w:ascii="Arial" w:eastAsia="Calibri" w:hAnsi="Arial" w:cs="Arial"/>
          <w:i/>
          <w:color w:val="auto"/>
          <w:sz w:val="22"/>
          <w:szCs w:val="24"/>
        </w:rPr>
        <w:t>Shoulds</w:t>
      </w:r>
      <w:proofErr w:type="spellEnd"/>
      <w:r w:rsidRPr="00322B75">
        <w:rPr>
          <w:rFonts w:ascii="Arial" w:eastAsia="Calibri" w:hAnsi="Arial" w:cs="Arial"/>
          <w:i/>
          <w:color w:val="auto"/>
          <w:sz w:val="22"/>
          <w:szCs w:val="24"/>
        </w:rPr>
        <w:t xml:space="preserve">” and “should nots” impede those responsibilities.  </w:t>
      </w:r>
    </w:p>
    <w:p w:rsidR="00E44D9F" w:rsidRPr="00E44D9F" w:rsidRDefault="00E44D9F" w:rsidP="00E44D9F">
      <w:pPr>
        <w:autoSpaceDN w:val="0"/>
        <w:rPr>
          <w:rFonts w:ascii="Arial" w:eastAsia="Calibri" w:hAnsi="Arial" w:cs="Arial"/>
          <w:color w:val="auto"/>
          <w:sz w:val="22"/>
          <w:szCs w:val="24"/>
        </w:rPr>
      </w:pP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 xml:space="preserve">Replace the </w:t>
      </w:r>
      <w:r w:rsidR="00595690">
        <w:rPr>
          <w:rFonts w:ascii="Arial" w:eastAsia="Calibri" w:hAnsi="Arial" w:cs="Arial"/>
          <w:color w:val="auto"/>
          <w:sz w:val="22"/>
          <w:szCs w:val="24"/>
        </w:rPr>
        <w:t xml:space="preserve">proposed </w:t>
      </w:r>
      <w:r w:rsidRPr="00E44D9F">
        <w:rPr>
          <w:rFonts w:ascii="Arial" w:eastAsia="Calibri" w:hAnsi="Arial" w:cs="Arial"/>
          <w:color w:val="auto"/>
          <w:sz w:val="22"/>
          <w:szCs w:val="24"/>
        </w:rPr>
        <w:t>80</w:t>
      </w:r>
      <w:r w:rsidR="004C411B">
        <w:rPr>
          <w:rFonts w:ascii="Arial" w:eastAsia="Calibri" w:hAnsi="Arial" w:cs="Arial"/>
          <w:color w:val="auto"/>
          <w:sz w:val="22"/>
          <w:szCs w:val="24"/>
        </w:rPr>
        <w:t xml:space="preserve"> </w:t>
      </w:r>
      <w:r w:rsidRPr="00E44D9F">
        <w:rPr>
          <w:rFonts w:ascii="Arial" w:eastAsia="Calibri" w:hAnsi="Arial" w:cs="Arial"/>
          <w:color w:val="auto"/>
          <w:sz w:val="22"/>
          <w:szCs w:val="24"/>
        </w:rPr>
        <w:t>mg</w:t>
      </w:r>
      <w:r w:rsidR="004C411B">
        <w:rPr>
          <w:rFonts w:ascii="Arial" w:eastAsia="Calibri" w:hAnsi="Arial" w:cs="Arial"/>
          <w:color w:val="auto"/>
          <w:sz w:val="22"/>
          <w:szCs w:val="24"/>
        </w:rPr>
        <w:t xml:space="preserve"> per </w:t>
      </w:r>
      <w:r w:rsidRPr="00E44D9F">
        <w:rPr>
          <w:rFonts w:ascii="Arial" w:eastAsia="Calibri" w:hAnsi="Arial" w:cs="Arial"/>
          <w:color w:val="auto"/>
          <w:sz w:val="22"/>
          <w:szCs w:val="24"/>
        </w:rPr>
        <w:t xml:space="preserve">day MED </w:t>
      </w:r>
      <w:r w:rsidR="004C411B">
        <w:rPr>
          <w:rFonts w:ascii="Arial" w:eastAsia="Calibri" w:hAnsi="Arial" w:cs="Arial"/>
          <w:color w:val="auto"/>
          <w:sz w:val="22"/>
          <w:szCs w:val="24"/>
        </w:rPr>
        <w:t>standard</w:t>
      </w:r>
      <w:r w:rsidR="00595690">
        <w:rPr>
          <w:rFonts w:ascii="Arial" w:eastAsia="Calibri" w:hAnsi="Arial" w:cs="Arial"/>
          <w:color w:val="auto"/>
          <w:sz w:val="22"/>
          <w:szCs w:val="24"/>
        </w:rPr>
        <w:t xml:space="preserve"> </w:t>
      </w:r>
      <w:r w:rsidRPr="00E44D9F">
        <w:rPr>
          <w:rFonts w:ascii="Arial" w:eastAsia="Calibri" w:hAnsi="Arial" w:cs="Arial"/>
          <w:color w:val="auto"/>
          <w:sz w:val="22"/>
          <w:szCs w:val="24"/>
        </w:rPr>
        <w:t xml:space="preserve">with </w:t>
      </w:r>
      <w:r w:rsidR="005343DE">
        <w:rPr>
          <w:rFonts w:ascii="Arial" w:eastAsia="Calibri" w:hAnsi="Arial" w:cs="Arial"/>
          <w:color w:val="auto"/>
          <w:sz w:val="22"/>
          <w:szCs w:val="24"/>
        </w:rPr>
        <w:t>the</w:t>
      </w:r>
      <w:r w:rsidR="00595690">
        <w:rPr>
          <w:rFonts w:ascii="Arial" w:eastAsia="Calibri" w:hAnsi="Arial" w:cs="Arial"/>
          <w:color w:val="auto"/>
          <w:sz w:val="22"/>
          <w:szCs w:val="24"/>
        </w:rPr>
        <w:t xml:space="preserve"> </w:t>
      </w:r>
      <w:r w:rsidRPr="00E44D9F">
        <w:rPr>
          <w:rFonts w:ascii="Arial" w:eastAsia="Calibri" w:hAnsi="Arial" w:cs="Arial"/>
          <w:color w:val="auto"/>
          <w:sz w:val="22"/>
          <w:szCs w:val="24"/>
        </w:rPr>
        <w:t>50</w:t>
      </w:r>
      <w:r w:rsidR="005343DE">
        <w:rPr>
          <w:rFonts w:ascii="Arial" w:eastAsia="Calibri" w:hAnsi="Arial" w:cs="Arial"/>
          <w:color w:val="auto"/>
          <w:sz w:val="22"/>
          <w:szCs w:val="24"/>
        </w:rPr>
        <w:t xml:space="preserve"> </w:t>
      </w:r>
      <w:r w:rsidRPr="00E44D9F">
        <w:rPr>
          <w:rFonts w:ascii="Arial" w:eastAsia="Calibri" w:hAnsi="Arial" w:cs="Arial"/>
          <w:color w:val="auto"/>
          <w:sz w:val="22"/>
          <w:szCs w:val="24"/>
        </w:rPr>
        <w:t>mg</w:t>
      </w:r>
      <w:r w:rsidR="005343DE">
        <w:rPr>
          <w:rFonts w:ascii="Arial" w:eastAsia="Calibri" w:hAnsi="Arial" w:cs="Arial"/>
          <w:color w:val="auto"/>
          <w:sz w:val="22"/>
          <w:szCs w:val="24"/>
        </w:rPr>
        <w:t xml:space="preserve"> per </w:t>
      </w:r>
      <w:r w:rsidRPr="00E44D9F">
        <w:rPr>
          <w:rFonts w:ascii="Arial" w:eastAsia="Calibri" w:hAnsi="Arial" w:cs="Arial"/>
          <w:color w:val="auto"/>
          <w:sz w:val="22"/>
          <w:szCs w:val="24"/>
        </w:rPr>
        <w:t>day MED</w:t>
      </w:r>
      <w:r w:rsidR="005343DE">
        <w:rPr>
          <w:rFonts w:ascii="Arial" w:eastAsia="Calibri" w:hAnsi="Arial" w:cs="Arial"/>
          <w:color w:val="auto"/>
          <w:sz w:val="22"/>
          <w:szCs w:val="24"/>
        </w:rPr>
        <w:t xml:space="preserve"> standard</w:t>
      </w:r>
      <w:r w:rsidRPr="00E44D9F">
        <w:rPr>
          <w:rFonts w:ascii="Arial" w:eastAsia="Calibri" w:hAnsi="Arial" w:cs="Arial"/>
          <w:color w:val="auto"/>
          <w:sz w:val="22"/>
          <w:szCs w:val="24"/>
        </w:rPr>
        <w:t>.</w:t>
      </w: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Discussion</w:t>
      </w:r>
    </w:p>
    <w:p w:rsidR="001E5BA6" w:rsidRPr="00322B75" w:rsidRDefault="00E44D9F" w:rsidP="006A2BE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According to the available medical evidence, the death rate (hazard ratio) accelerates for morphine equivalent doses (MEDs) above 50 mg per day, as</w:t>
      </w:r>
      <w:r w:rsidR="005343DE" w:rsidRPr="00322B75">
        <w:rPr>
          <w:rFonts w:ascii="Arial" w:eastAsia="Calibri" w:hAnsi="Arial" w:cs="Arial"/>
          <w:i/>
          <w:color w:val="auto"/>
          <w:sz w:val="22"/>
          <w:szCs w:val="24"/>
        </w:rPr>
        <w:t xml:space="preserve"> </w:t>
      </w:r>
      <w:r w:rsidR="00781DB5" w:rsidRPr="00322B75">
        <w:rPr>
          <w:rFonts w:ascii="Arial" w:eastAsia="Calibri" w:hAnsi="Arial" w:cs="Arial"/>
          <w:i/>
          <w:color w:val="auto"/>
          <w:sz w:val="22"/>
          <w:szCs w:val="24"/>
        </w:rPr>
        <w:t xml:space="preserve">demonstrated in </w:t>
      </w:r>
      <w:r w:rsidR="00D621DB" w:rsidRPr="00322B75">
        <w:rPr>
          <w:rFonts w:ascii="Arial" w:eastAsia="Calibri" w:hAnsi="Arial" w:cs="Arial"/>
          <w:i/>
          <w:color w:val="auto"/>
          <w:sz w:val="22"/>
          <w:szCs w:val="24"/>
        </w:rPr>
        <w:t xml:space="preserve">the three studies cited in </w:t>
      </w:r>
      <w:r w:rsidR="00781DB5" w:rsidRPr="00322B75">
        <w:rPr>
          <w:rFonts w:ascii="Arial" w:eastAsia="Calibri" w:hAnsi="Arial" w:cs="Arial"/>
          <w:i/>
          <w:color w:val="auto"/>
          <w:sz w:val="22"/>
          <w:szCs w:val="24"/>
        </w:rPr>
        <w:t xml:space="preserve">Appendix E of Part 1 and Supplement 1 of </w:t>
      </w:r>
      <w:r w:rsidR="00D621DB" w:rsidRPr="00322B75">
        <w:rPr>
          <w:rFonts w:ascii="Arial" w:eastAsia="Calibri" w:hAnsi="Arial" w:cs="Arial"/>
          <w:i/>
          <w:color w:val="auto"/>
          <w:sz w:val="22"/>
          <w:szCs w:val="24"/>
        </w:rPr>
        <w:t>Part 2</w:t>
      </w:r>
      <w:r w:rsidR="005343DE" w:rsidRPr="00322B75">
        <w:rPr>
          <w:rFonts w:ascii="Arial" w:eastAsia="Calibri" w:hAnsi="Arial" w:cs="Arial"/>
          <w:i/>
          <w:color w:val="auto"/>
          <w:sz w:val="22"/>
          <w:szCs w:val="24"/>
        </w:rPr>
        <w:t>, and clearly illustrated in Figure 2 of the section on Acute Pain (page 20) in the ACOEM V.3 Opioid Treatment Guideline (2014)</w:t>
      </w:r>
      <w:r w:rsidR="00781DB5" w:rsidRPr="00322B75">
        <w:rPr>
          <w:rFonts w:ascii="Arial" w:eastAsia="Calibri" w:hAnsi="Arial" w:cs="Arial"/>
          <w:i/>
          <w:color w:val="auto"/>
          <w:sz w:val="22"/>
          <w:szCs w:val="24"/>
        </w:rPr>
        <w:t>.</w:t>
      </w:r>
      <w:r w:rsidR="00595690" w:rsidRPr="00322B75">
        <w:rPr>
          <w:rFonts w:ascii="Arial" w:eastAsia="Calibri" w:hAnsi="Arial" w:cs="Arial"/>
          <w:i/>
          <w:color w:val="auto"/>
          <w:sz w:val="22"/>
          <w:szCs w:val="24"/>
        </w:rPr>
        <w:t xml:space="preserve">  Even though other guidelines</w:t>
      </w:r>
      <w:r w:rsidR="004E0A49" w:rsidRPr="00322B75">
        <w:rPr>
          <w:rFonts w:ascii="Arial" w:eastAsia="Calibri" w:hAnsi="Arial" w:cs="Arial"/>
          <w:i/>
          <w:color w:val="auto"/>
          <w:sz w:val="22"/>
          <w:szCs w:val="24"/>
        </w:rPr>
        <w:t>,</w:t>
      </w:r>
      <w:r w:rsidR="00595690" w:rsidRPr="00322B75">
        <w:rPr>
          <w:rFonts w:ascii="Arial" w:eastAsia="Calibri" w:hAnsi="Arial" w:cs="Arial"/>
          <w:i/>
          <w:color w:val="auto"/>
          <w:sz w:val="22"/>
          <w:szCs w:val="24"/>
        </w:rPr>
        <w:t xml:space="preserve"> including the </w:t>
      </w:r>
      <w:r w:rsidR="00E67CFE" w:rsidRPr="00322B75">
        <w:rPr>
          <w:rFonts w:ascii="Arial" w:eastAsia="Calibri" w:hAnsi="Arial" w:cs="Arial"/>
          <w:i/>
          <w:color w:val="auto"/>
          <w:sz w:val="22"/>
          <w:szCs w:val="24"/>
        </w:rPr>
        <w:t>Medical Board of California’s guideline</w:t>
      </w:r>
      <w:r w:rsidR="004E0A49" w:rsidRPr="00322B75">
        <w:rPr>
          <w:rFonts w:ascii="Arial" w:eastAsia="Calibri" w:hAnsi="Arial" w:cs="Arial"/>
          <w:i/>
          <w:color w:val="auto"/>
          <w:sz w:val="22"/>
          <w:szCs w:val="24"/>
        </w:rPr>
        <w:t>,</w:t>
      </w:r>
      <w:r w:rsidR="00595690" w:rsidRPr="00322B75">
        <w:rPr>
          <w:rFonts w:ascii="Arial" w:eastAsia="Calibri" w:hAnsi="Arial" w:cs="Arial"/>
          <w:i/>
          <w:color w:val="auto"/>
          <w:sz w:val="22"/>
          <w:szCs w:val="24"/>
        </w:rPr>
        <w:t xml:space="preserve"> recommend higher </w:t>
      </w:r>
      <w:r w:rsidR="005343DE" w:rsidRPr="00322B75">
        <w:rPr>
          <w:rFonts w:ascii="Arial" w:eastAsia="Calibri" w:hAnsi="Arial" w:cs="Arial"/>
          <w:i/>
          <w:color w:val="auto"/>
          <w:sz w:val="22"/>
          <w:szCs w:val="24"/>
        </w:rPr>
        <w:t xml:space="preserve">daily </w:t>
      </w:r>
      <w:r w:rsidR="00595690" w:rsidRPr="00322B75">
        <w:rPr>
          <w:rFonts w:ascii="Arial" w:eastAsia="Calibri" w:hAnsi="Arial" w:cs="Arial"/>
          <w:i/>
          <w:color w:val="auto"/>
          <w:sz w:val="22"/>
          <w:szCs w:val="24"/>
        </w:rPr>
        <w:t>MED limit</w:t>
      </w:r>
      <w:r w:rsidR="00041B7A" w:rsidRPr="00322B75">
        <w:rPr>
          <w:rFonts w:ascii="Arial" w:eastAsia="Calibri" w:hAnsi="Arial" w:cs="Arial"/>
          <w:i/>
          <w:color w:val="auto"/>
          <w:sz w:val="22"/>
          <w:szCs w:val="24"/>
        </w:rPr>
        <w:t>s</w:t>
      </w:r>
      <w:r w:rsidR="00E67CFE" w:rsidRPr="00322B75">
        <w:rPr>
          <w:rFonts w:ascii="Arial" w:eastAsia="Calibri" w:hAnsi="Arial" w:cs="Arial"/>
          <w:i/>
          <w:color w:val="auto"/>
          <w:sz w:val="22"/>
          <w:szCs w:val="24"/>
        </w:rPr>
        <w:t>, the medical evidence support</w:t>
      </w:r>
      <w:r w:rsidR="001B77A5" w:rsidRPr="00322B75">
        <w:rPr>
          <w:rFonts w:ascii="Arial" w:eastAsia="Calibri" w:hAnsi="Arial" w:cs="Arial"/>
          <w:i/>
          <w:color w:val="auto"/>
          <w:sz w:val="22"/>
          <w:szCs w:val="24"/>
        </w:rPr>
        <w:t>s</w:t>
      </w:r>
      <w:r w:rsidR="00E67CFE" w:rsidRPr="00322B75">
        <w:rPr>
          <w:rFonts w:ascii="Arial" w:eastAsia="Calibri" w:hAnsi="Arial" w:cs="Arial"/>
          <w:i/>
          <w:color w:val="auto"/>
          <w:sz w:val="22"/>
          <w:szCs w:val="24"/>
        </w:rPr>
        <w:t xml:space="preserve"> </w:t>
      </w:r>
      <w:r w:rsidR="00041B7A" w:rsidRPr="00322B75">
        <w:rPr>
          <w:rFonts w:ascii="Arial" w:eastAsia="Calibri" w:hAnsi="Arial" w:cs="Arial"/>
          <w:i/>
          <w:color w:val="auto"/>
          <w:sz w:val="22"/>
          <w:szCs w:val="24"/>
        </w:rPr>
        <w:t>a</w:t>
      </w:r>
      <w:r w:rsidR="00E67CFE" w:rsidRPr="00322B75">
        <w:rPr>
          <w:rFonts w:ascii="Arial" w:eastAsia="Calibri" w:hAnsi="Arial" w:cs="Arial"/>
          <w:i/>
          <w:color w:val="auto"/>
          <w:sz w:val="22"/>
          <w:szCs w:val="24"/>
        </w:rPr>
        <w:t xml:space="preserve"> 50 mg </w:t>
      </w:r>
      <w:r w:rsidR="00781DB5" w:rsidRPr="00322B75">
        <w:rPr>
          <w:rFonts w:ascii="Arial" w:eastAsia="Calibri" w:hAnsi="Arial" w:cs="Arial"/>
          <w:i/>
          <w:color w:val="auto"/>
          <w:sz w:val="22"/>
          <w:szCs w:val="24"/>
        </w:rPr>
        <w:t xml:space="preserve">MED </w:t>
      </w:r>
      <w:r w:rsidR="001B77A5" w:rsidRPr="00322B75">
        <w:rPr>
          <w:rFonts w:ascii="Arial" w:eastAsia="Calibri" w:hAnsi="Arial" w:cs="Arial"/>
          <w:i/>
          <w:color w:val="auto"/>
          <w:sz w:val="22"/>
          <w:szCs w:val="24"/>
        </w:rPr>
        <w:t xml:space="preserve">per day </w:t>
      </w:r>
      <w:r w:rsidR="00781DB5" w:rsidRPr="00322B75">
        <w:rPr>
          <w:rFonts w:ascii="Arial" w:eastAsia="Calibri" w:hAnsi="Arial" w:cs="Arial"/>
          <w:i/>
          <w:color w:val="auto"/>
          <w:sz w:val="22"/>
          <w:szCs w:val="24"/>
        </w:rPr>
        <w:t>standard</w:t>
      </w:r>
      <w:r w:rsidR="00E67CFE" w:rsidRPr="00322B75">
        <w:rPr>
          <w:rFonts w:ascii="Arial" w:eastAsia="Calibri" w:hAnsi="Arial" w:cs="Arial"/>
          <w:i/>
          <w:color w:val="auto"/>
          <w:sz w:val="22"/>
          <w:szCs w:val="24"/>
        </w:rPr>
        <w:t xml:space="preserve">.  </w:t>
      </w:r>
      <w:r w:rsidR="006904B4" w:rsidRPr="00322B75">
        <w:rPr>
          <w:rFonts w:ascii="Arial" w:eastAsia="Calibri" w:hAnsi="Arial" w:cs="Arial"/>
          <w:i/>
          <w:color w:val="auto"/>
          <w:sz w:val="22"/>
          <w:szCs w:val="24"/>
        </w:rPr>
        <w:t>Labor Code section 4604.5 requires the recommended guidelines in the MTUS to reflect practices that are evidence and scientifically based, nationally recognized, and peer reviewed</w:t>
      </w:r>
      <w:r w:rsidR="00DB6B7A" w:rsidRPr="00322B75">
        <w:rPr>
          <w:rFonts w:ascii="Arial" w:eastAsia="Calibri" w:hAnsi="Arial" w:cs="Arial"/>
          <w:i/>
          <w:color w:val="auto"/>
          <w:sz w:val="22"/>
          <w:szCs w:val="24"/>
        </w:rPr>
        <w:t xml:space="preserve">, therefore </w:t>
      </w:r>
      <w:r w:rsidR="00041B7A" w:rsidRPr="00322B75">
        <w:rPr>
          <w:rFonts w:ascii="Arial" w:eastAsia="Calibri" w:hAnsi="Arial" w:cs="Arial"/>
          <w:i/>
          <w:color w:val="auto"/>
          <w:sz w:val="22"/>
          <w:szCs w:val="24"/>
        </w:rPr>
        <w:t xml:space="preserve">the Institute believes </w:t>
      </w:r>
      <w:r w:rsidR="00DB6B7A" w:rsidRPr="00322B75">
        <w:rPr>
          <w:rFonts w:ascii="Arial" w:eastAsia="Calibri" w:hAnsi="Arial" w:cs="Arial"/>
          <w:i/>
          <w:color w:val="auto"/>
          <w:sz w:val="22"/>
          <w:szCs w:val="24"/>
        </w:rPr>
        <w:t>the 50 mg MED</w:t>
      </w:r>
      <w:r w:rsidR="001B77A5" w:rsidRPr="00322B75">
        <w:rPr>
          <w:rFonts w:ascii="Arial" w:eastAsia="Calibri" w:hAnsi="Arial" w:cs="Arial"/>
          <w:i/>
          <w:color w:val="auto"/>
          <w:sz w:val="22"/>
          <w:szCs w:val="24"/>
        </w:rPr>
        <w:t xml:space="preserve"> per day</w:t>
      </w:r>
      <w:r w:rsidR="00DB6B7A" w:rsidRPr="00322B75">
        <w:rPr>
          <w:rFonts w:ascii="Arial" w:eastAsia="Calibri" w:hAnsi="Arial" w:cs="Arial"/>
          <w:i/>
          <w:color w:val="auto"/>
          <w:sz w:val="22"/>
          <w:szCs w:val="24"/>
        </w:rPr>
        <w:t xml:space="preserve"> </w:t>
      </w:r>
      <w:r w:rsidR="001B77A5" w:rsidRPr="00322B75">
        <w:rPr>
          <w:rFonts w:ascii="Arial" w:eastAsia="Calibri" w:hAnsi="Arial" w:cs="Arial"/>
          <w:i/>
          <w:color w:val="auto"/>
          <w:sz w:val="22"/>
          <w:szCs w:val="24"/>
        </w:rPr>
        <w:t>standard</w:t>
      </w:r>
      <w:r w:rsidR="004E0A49" w:rsidRPr="00322B75">
        <w:rPr>
          <w:rFonts w:ascii="Arial" w:eastAsia="Calibri" w:hAnsi="Arial" w:cs="Arial"/>
          <w:i/>
          <w:color w:val="auto"/>
          <w:sz w:val="22"/>
          <w:szCs w:val="24"/>
        </w:rPr>
        <w:t xml:space="preserve"> </w:t>
      </w:r>
      <w:r w:rsidR="00041B7A" w:rsidRPr="00322B75">
        <w:rPr>
          <w:rFonts w:ascii="Arial" w:eastAsia="Calibri" w:hAnsi="Arial" w:cs="Arial"/>
          <w:i/>
          <w:color w:val="auto"/>
          <w:sz w:val="22"/>
          <w:szCs w:val="24"/>
        </w:rPr>
        <w:t xml:space="preserve">is the correct standard for the </w:t>
      </w:r>
      <w:r w:rsidR="00DB6B7A" w:rsidRPr="00322B75">
        <w:rPr>
          <w:rFonts w:ascii="Arial" w:eastAsia="Calibri" w:hAnsi="Arial" w:cs="Arial"/>
          <w:i/>
          <w:color w:val="auto"/>
          <w:sz w:val="22"/>
          <w:szCs w:val="24"/>
        </w:rPr>
        <w:t>MTUS</w:t>
      </w:r>
      <w:r w:rsidR="006904B4" w:rsidRPr="00322B75">
        <w:rPr>
          <w:rFonts w:ascii="Arial" w:eastAsia="Calibri" w:hAnsi="Arial" w:cs="Arial"/>
          <w:i/>
          <w:color w:val="auto"/>
          <w:sz w:val="22"/>
          <w:szCs w:val="24"/>
        </w:rPr>
        <w:t>.</w:t>
      </w:r>
    </w:p>
    <w:p w:rsidR="001E5BA6" w:rsidRPr="00322B75" w:rsidRDefault="001E5BA6" w:rsidP="006A2BE5">
      <w:pPr>
        <w:autoSpaceDN w:val="0"/>
        <w:ind w:left="360"/>
        <w:rPr>
          <w:rFonts w:ascii="Arial" w:eastAsia="Calibri" w:hAnsi="Arial" w:cs="Arial"/>
          <w:i/>
          <w:color w:val="auto"/>
          <w:sz w:val="22"/>
          <w:szCs w:val="24"/>
        </w:rPr>
      </w:pPr>
    </w:p>
    <w:p w:rsidR="00B34544" w:rsidRDefault="00847965" w:rsidP="006A2BE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A3.9 of Part 1, on page 17 states that where common recommendations across guidelines were lacking</w:t>
      </w:r>
      <w:r w:rsidR="00BA68AD" w:rsidRPr="00322B75">
        <w:rPr>
          <w:rFonts w:ascii="Arial" w:eastAsia="Calibri" w:hAnsi="Arial" w:cs="Arial"/>
          <w:i/>
          <w:color w:val="auto"/>
          <w:sz w:val="22"/>
          <w:szCs w:val="24"/>
        </w:rPr>
        <w:t xml:space="preserve"> (</w:t>
      </w:r>
      <w:r w:rsidR="001B77A5" w:rsidRPr="00322B75">
        <w:rPr>
          <w:rFonts w:ascii="Arial" w:eastAsia="Calibri" w:hAnsi="Arial" w:cs="Arial"/>
          <w:i/>
          <w:color w:val="auto"/>
          <w:sz w:val="22"/>
          <w:szCs w:val="24"/>
        </w:rPr>
        <w:t>the case here</w:t>
      </w:r>
      <w:r w:rsidR="00BA68AD" w:rsidRPr="00322B75">
        <w:rPr>
          <w:rFonts w:ascii="Arial" w:eastAsia="Calibri" w:hAnsi="Arial" w:cs="Arial"/>
          <w:i/>
          <w:color w:val="auto"/>
          <w:sz w:val="22"/>
          <w:szCs w:val="24"/>
        </w:rPr>
        <w:t>)</w:t>
      </w:r>
      <w:r w:rsidR="001B77A5" w:rsidRPr="00322B75">
        <w:rPr>
          <w:rFonts w:ascii="Arial" w:eastAsia="Calibri" w:hAnsi="Arial" w:cs="Arial"/>
          <w:i/>
          <w:color w:val="auto"/>
          <w:sz w:val="22"/>
          <w:szCs w:val="24"/>
        </w:rPr>
        <w:t xml:space="preserve"> </w:t>
      </w:r>
      <w:r w:rsidR="00642C4C" w:rsidRPr="00322B75">
        <w:rPr>
          <w:rFonts w:ascii="Arial" w:eastAsia="Calibri" w:hAnsi="Arial" w:cs="Arial"/>
          <w:i/>
          <w:color w:val="auto"/>
          <w:sz w:val="22"/>
          <w:szCs w:val="24"/>
        </w:rPr>
        <w:t xml:space="preserve">recommendations in </w:t>
      </w:r>
      <w:r w:rsidRPr="00322B75">
        <w:rPr>
          <w:rFonts w:ascii="Arial" w:eastAsia="Calibri" w:hAnsi="Arial" w:cs="Arial"/>
          <w:i/>
          <w:color w:val="auto"/>
          <w:sz w:val="22"/>
          <w:szCs w:val="24"/>
        </w:rPr>
        <w:t>high-level studies</w:t>
      </w:r>
      <w:r w:rsidR="00BC6044" w:rsidRPr="00322B75">
        <w:rPr>
          <w:rFonts w:ascii="Arial" w:eastAsia="Calibri" w:hAnsi="Arial" w:cs="Arial"/>
          <w:i/>
          <w:color w:val="auto"/>
          <w:sz w:val="22"/>
          <w:szCs w:val="24"/>
        </w:rPr>
        <w:t xml:space="preserve"> were to be adopted, </w:t>
      </w:r>
      <w:r w:rsidR="00BA68AD" w:rsidRPr="00322B75">
        <w:rPr>
          <w:rFonts w:ascii="Arial" w:eastAsia="Calibri" w:hAnsi="Arial" w:cs="Arial"/>
          <w:i/>
          <w:color w:val="auto"/>
          <w:sz w:val="22"/>
          <w:szCs w:val="24"/>
        </w:rPr>
        <w:t>or else</w:t>
      </w:r>
      <w:r w:rsidR="00BC6044" w:rsidRPr="00322B75">
        <w:rPr>
          <w:rFonts w:ascii="Arial" w:eastAsia="Calibri" w:hAnsi="Arial" w:cs="Arial"/>
          <w:i/>
          <w:color w:val="auto"/>
          <w:sz w:val="22"/>
          <w:szCs w:val="24"/>
        </w:rPr>
        <w:t xml:space="preserve"> the recommendations of a major guideline were to be adopted, even </w:t>
      </w:r>
      <w:r w:rsidR="00BA68AD" w:rsidRPr="00322B75">
        <w:rPr>
          <w:rFonts w:ascii="Arial" w:eastAsia="Calibri" w:hAnsi="Arial" w:cs="Arial"/>
          <w:i/>
          <w:color w:val="auto"/>
          <w:sz w:val="22"/>
          <w:szCs w:val="24"/>
        </w:rPr>
        <w:t>if</w:t>
      </w:r>
      <w:r w:rsidR="00BC6044" w:rsidRPr="00322B75">
        <w:rPr>
          <w:rFonts w:ascii="Arial" w:eastAsia="Calibri" w:hAnsi="Arial" w:cs="Arial"/>
          <w:i/>
          <w:color w:val="auto"/>
          <w:sz w:val="22"/>
          <w:szCs w:val="24"/>
        </w:rPr>
        <w:t xml:space="preserve"> other guidelines did not replicate them, </w:t>
      </w:r>
      <w:r w:rsidR="00221789" w:rsidRPr="00322B75">
        <w:rPr>
          <w:rFonts w:ascii="Arial" w:eastAsia="Calibri" w:hAnsi="Arial" w:cs="Arial"/>
          <w:i/>
          <w:color w:val="auto"/>
          <w:sz w:val="22"/>
          <w:szCs w:val="24"/>
        </w:rPr>
        <w:t>provided</w:t>
      </w:r>
      <w:r w:rsidR="00BC6044" w:rsidRPr="00322B75">
        <w:rPr>
          <w:rFonts w:ascii="Arial" w:eastAsia="Calibri" w:hAnsi="Arial" w:cs="Arial"/>
          <w:i/>
          <w:color w:val="auto"/>
          <w:sz w:val="22"/>
          <w:szCs w:val="24"/>
        </w:rPr>
        <w:t xml:space="preserve"> they aligned with the goals and objectives of the Opioids </w:t>
      </w:r>
    </w:p>
    <w:p w:rsidR="00B34544" w:rsidRDefault="00BC6044" w:rsidP="006A2BE5">
      <w:pPr>
        <w:autoSpaceDN w:val="0"/>
        <w:ind w:left="360"/>
        <w:rPr>
          <w:rFonts w:ascii="Arial" w:eastAsia="Calibri" w:hAnsi="Arial" w:cs="Arial"/>
          <w:i/>
          <w:color w:val="auto"/>
          <w:sz w:val="22"/>
          <w:szCs w:val="24"/>
        </w:rPr>
      </w:pPr>
      <w:proofErr w:type="gramStart"/>
      <w:r w:rsidRPr="00322B75">
        <w:rPr>
          <w:rFonts w:ascii="Arial" w:eastAsia="Calibri" w:hAnsi="Arial" w:cs="Arial"/>
          <w:i/>
          <w:color w:val="auto"/>
          <w:sz w:val="22"/>
          <w:szCs w:val="24"/>
        </w:rPr>
        <w:t>Treatment Guideline</w:t>
      </w:r>
      <w:r w:rsidR="00363356" w:rsidRPr="00322B75">
        <w:rPr>
          <w:rFonts w:ascii="Arial" w:eastAsia="Calibri" w:hAnsi="Arial" w:cs="Arial"/>
          <w:i/>
          <w:color w:val="auto"/>
          <w:sz w:val="22"/>
          <w:szCs w:val="24"/>
        </w:rPr>
        <w:t>.</w:t>
      </w:r>
      <w:proofErr w:type="gramEnd"/>
      <w:r w:rsidR="00642C4C" w:rsidRPr="00322B75">
        <w:rPr>
          <w:rFonts w:ascii="Arial" w:eastAsia="Calibri" w:hAnsi="Arial" w:cs="Arial"/>
          <w:i/>
          <w:color w:val="auto"/>
          <w:sz w:val="22"/>
          <w:szCs w:val="24"/>
        </w:rPr>
        <w:t xml:space="preserve"> </w:t>
      </w:r>
      <w:r w:rsidR="001E5BA6" w:rsidRPr="00322B75">
        <w:rPr>
          <w:rFonts w:ascii="Arial" w:eastAsia="Calibri" w:hAnsi="Arial" w:cs="Arial"/>
          <w:i/>
          <w:color w:val="auto"/>
          <w:sz w:val="22"/>
          <w:szCs w:val="24"/>
        </w:rPr>
        <w:t xml:space="preserve">The ACOEM </w:t>
      </w:r>
      <w:r w:rsidR="00AC1335" w:rsidRPr="00322B75">
        <w:rPr>
          <w:rFonts w:ascii="Arial" w:eastAsia="Calibri" w:hAnsi="Arial" w:cs="Arial"/>
          <w:i/>
          <w:color w:val="auto"/>
          <w:sz w:val="22"/>
          <w:szCs w:val="24"/>
        </w:rPr>
        <w:t>recommendation</w:t>
      </w:r>
      <w:r w:rsidR="004C411B" w:rsidRPr="00322B75">
        <w:rPr>
          <w:rFonts w:ascii="Arial" w:eastAsia="Calibri" w:hAnsi="Arial" w:cs="Arial"/>
          <w:i/>
          <w:color w:val="auto"/>
          <w:sz w:val="22"/>
          <w:szCs w:val="24"/>
        </w:rPr>
        <w:t xml:space="preserve"> </w:t>
      </w:r>
      <w:r w:rsidR="00AC1335" w:rsidRPr="00322B75">
        <w:rPr>
          <w:rFonts w:ascii="Arial" w:eastAsia="Calibri" w:hAnsi="Arial" w:cs="Arial"/>
          <w:i/>
          <w:color w:val="auto"/>
          <w:sz w:val="22"/>
          <w:szCs w:val="24"/>
        </w:rPr>
        <w:t xml:space="preserve">for a 50 mg </w:t>
      </w:r>
      <w:r w:rsidR="00363356" w:rsidRPr="00322B75">
        <w:rPr>
          <w:rFonts w:ascii="Arial" w:eastAsia="Calibri" w:hAnsi="Arial" w:cs="Arial"/>
          <w:i/>
          <w:color w:val="auto"/>
          <w:sz w:val="22"/>
          <w:szCs w:val="24"/>
        </w:rPr>
        <w:t xml:space="preserve">MED </w:t>
      </w:r>
      <w:r w:rsidR="00AC1335" w:rsidRPr="00322B75">
        <w:rPr>
          <w:rFonts w:ascii="Arial" w:eastAsia="Calibri" w:hAnsi="Arial" w:cs="Arial"/>
          <w:i/>
          <w:color w:val="auto"/>
          <w:sz w:val="22"/>
          <w:szCs w:val="24"/>
        </w:rPr>
        <w:t xml:space="preserve">per day </w:t>
      </w:r>
      <w:r w:rsidR="00363356" w:rsidRPr="00322B75">
        <w:rPr>
          <w:rFonts w:ascii="Arial" w:eastAsia="Calibri" w:hAnsi="Arial" w:cs="Arial"/>
          <w:i/>
          <w:color w:val="auto"/>
          <w:sz w:val="22"/>
          <w:szCs w:val="24"/>
        </w:rPr>
        <w:t>standard</w:t>
      </w:r>
      <w:r w:rsidR="00AC1335" w:rsidRPr="00322B75">
        <w:rPr>
          <w:rFonts w:ascii="Arial" w:eastAsia="Calibri" w:hAnsi="Arial" w:cs="Arial"/>
          <w:i/>
          <w:color w:val="auto"/>
          <w:sz w:val="22"/>
          <w:szCs w:val="24"/>
        </w:rPr>
        <w:t xml:space="preserve"> aligns </w:t>
      </w:r>
      <w:r w:rsidR="009829CF" w:rsidRPr="00322B75">
        <w:rPr>
          <w:rFonts w:ascii="Arial" w:eastAsia="Calibri" w:hAnsi="Arial" w:cs="Arial"/>
          <w:i/>
          <w:color w:val="auto"/>
          <w:sz w:val="22"/>
          <w:szCs w:val="24"/>
        </w:rPr>
        <w:t xml:space="preserve">more strongly </w:t>
      </w:r>
      <w:r w:rsidR="00AC1335" w:rsidRPr="00322B75">
        <w:rPr>
          <w:rFonts w:ascii="Arial" w:eastAsia="Calibri" w:hAnsi="Arial" w:cs="Arial"/>
          <w:i/>
          <w:color w:val="auto"/>
          <w:sz w:val="22"/>
          <w:szCs w:val="24"/>
        </w:rPr>
        <w:t xml:space="preserve">with </w:t>
      </w:r>
      <w:r w:rsidR="00363356" w:rsidRPr="00322B75">
        <w:rPr>
          <w:rFonts w:ascii="Arial" w:eastAsia="Calibri" w:hAnsi="Arial" w:cs="Arial"/>
          <w:i/>
          <w:color w:val="auto"/>
          <w:sz w:val="22"/>
          <w:szCs w:val="24"/>
        </w:rPr>
        <w:t xml:space="preserve">those </w:t>
      </w:r>
      <w:r w:rsidR="009B64EF" w:rsidRPr="00322B75">
        <w:rPr>
          <w:rFonts w:ascii="Arial" w:eastAsia="Calibri" w:hAnsi="Arial" w:cs="Arial"/>
          <w:i/>
          <w:color w:val="auto"/>
          <w:sz w:val="22"/>
          <w:szCs w:val="24"/>
        </w:rPr>
        <w:t>goals and objectives</w:t>
      </w:r>
      <w:r w:rsidR="009829CF" w:rsidRPr="00322B75">
        <w:rPr>
          <w:rFonts w:ascii="Arial" w:eastAsia="Calibri" w:hAnsi="Arial" w:cs="Arial"/>
          <w:i/>
          <w:color w:val="auto"/>
          <w:sz w:val="22"/>
          <w:szCs w:val="24"/>
        </w:rPr>
        <w:t xml:space="preserve"> than does an 80 mg MED per day standard</w:t>
      </w:r>
      <w:r w:rsidR="00264790" w:rsidRPr="00322B75">
        <w:rPr>
          <w:rFonts w:ascii="Arial" w:eastAsia="Calibri" w:hAnsi="Arial" w:cs="Arial"/>
          <w:i/>
          <w:color w:val="auto"/>
          <w:sz w:val="22"/>
          <w:szCs w:val="24"/>
        </w:rPr>
        <w:t>, and</w:t>
      </w:r>
      <w:r w:rsidR="009829CF" w:rsidRPr="00322B75">
        <w:rPr>
          <w:rFonts w:ascii="Arial" w:eastAsia="Calibri" w:hAnsi="Arial" w:cs="Arial"/>
          <w:i/>
          <w:color w:val="auto"/>
          <w:sz w:val="22"/>
          <w:szCs w:val="24"/>
        </w:rPr>
        <w:t xml:space="preserve"> particularly </w:t>
      </w:r>
      <w:r w:rsidR="004C411B" w:rsidRPr="00322B75">
        <w:rPr>
          <w:rFonts w:ascii="Arial" w:eastAsia="Calibri" w:hAnsi="Arial" w:cs="Arial"/>
          <w:i/>
          <w:color w:val="auto"/>
          <w:sz w:val="22"/>
          <w:szCs w:val="24"/>
        </w:rPr>
        <w:t xml:space="preserve">so </w:t>
      </w:r>
      <w:r w:rsidR="00264790" w:rsidRPr="00322B75">
        <w:rPr>
          <w:rFonts w:ascii="Arial" w:eastAsia="Calibri" w:hAnsi="Arial" w:cs="Arial"/>
          <w:i/>
          <w:color w:val="auto"/>
          <w:sz w:val="22"/>
          <w:szCs w:val="24"/>
        </w:rPr>
        <w:t>with the first two:</w:t>
      </w:r>
    </w:p>
    <w:p w:rsidR="00264790" w:rsidRPr="00322B75" w:rsidRDefault="00264790" w:rsidP="00264790">
      <w:pPr>
        <w:pStyle w:val="ListParagraph"/>
        <w:numPr>
          <w:ilvl w:val="0"/>
          <w:numId w:val="6"/>
        </w:numPr>
        <w:autoSpaceDN w:val="0"/>
        <w:rPr>
          <w:rFonts w:ascii="Arial" w:eastAsia="Calibri" w:hAnsi="Arial" w:cs="Arial"/>
          <w:i/>
          <w:color w:val="auto"/>
          <w:sz w:val="22"/>
          <w:szCs w:val="24"/>
        </w:rPr>
      </w:pPr>
      <w:r w:rsidRPr="00322B75">
        <w:rPr>
          <w:rFonts w:ascii="Arial" w:eastAsia="Calibri" w:hAnsi="Arial" w:cs="Arial"/>
          <w:i/>
          <w:color w:val="auto"/>
          <w:sz w:val="22"/>
          <w:szCs w:val="24"/>
        </w:rPr>
        <w:t>To prevent and reduce opioid-related long-term disability, morbidity, mortality, and substance misuse and abuse</w:t>
      </w:r>
    </w:p>
    <w:p w:rsidR="00264790" w:rsidRPr="00322B75" w:rsidRDefault="00264790" w:rsidP="00264790">
      <w:pPr>
        <w:pStyle w:val="ListParagraph"/>
        <w:numPr>
          <w:ilvl w:val="0"/>
          <w:numId w:val="6"/>
        </w:numPr>
        <w:autoSpaceDN w:val="0"/>
        <w:rPr>
          <w:rFonts w:ascii="Arial" w:eastAsia="Calibri" w:hAnsi="Arial" w:cs="Arial"/>
          <w:i/>
          <w:color w:val="auto"/>
          <w:sz w:val="22"/>
          <w:szCs w:val="24"/>
        </w:rPr>
      </w:pPr>
      <w:r w:rsidRPr="00322B75">
        <w:rPr>
          <w:rFonts w:ascii="Arial" w:eastAsia="Calibri" w:hAnsi="Arial" w:cs="Arial"/>
          <w:i/>
          <w:color w:val="auto"/>
          <w:sz w:val="22"/>
          <w:szCs w:val="24"/>
        </w:rPr>
        <w:t xml:space="preserve">To provide </w:t>
      </w:r>
      <w:r w:rsidR="00D621DB" w:rsidRPr="00322B75">
        <w:rPr>
          <w:rFonts w:ascii="Arial" w:eastAsia="Calibri" w:hAnsi="Arial" w:cs="Arial"/>
          <w:i/>
          <w:color w:val="auto"/>
          <w:sz w:val="22"/>
          <w:szCs w:val="24"/>
        </w:rPr>
        <w:t>a set of best practices and universal precautions for safe and effective prescribing of opioids for acute, subacute, and chronic pain.</w:t>
      </w:r>
    </w:p>
    <w:p w:rsidR="00E44D9F" w:rsidRDefault="00E44D9F" w:rsidP="00E44D9F">
      <w:pPr>
        <w:autoSpaceDN w:val="0"/>
        <w:rPr>
          <w:rFonts w:ascii="Arial" w:eastAsia="Calibri" w:hAnsi="Arial" w:cs="Arial"/>
          <w:b/>
          <w:color w:val="auto"/>
          <w:sz w:val="22"/>
          <w:szCs w:val="24"/>
        </w:rPr>
      </w:pPr>
    </w:p>
    <w:p w:rsidR="007243FF" w:rsidRDefault="007243FF" w:rsidP="00E44D9F">
      <w:pPr>
        <w:autoSpaceDN w:val="0"/>
        <w:rPr>
          <w:rFonts w:ascii="Arial" w:eastAsia="Calibri" w:hAnsi="Arial" w:cs="Arial"/>
          <w:b/>
          <w:color w:val="auto"/>
          <w:sz w:val="22"/>
          <w:szCs w:val="24"/>
        </w:rPr>
      </w:pPr>
    </w:p>
    <w:p w:rsidR="00041B7A" w:rsidRPr="00E44D9F" w:rsidRDefault="00041B7A"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lastRenderedPageBreak/>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 xml:space="preserve">Specify that employees shall be </w:t>
      </w:r>
      <w:r w:rsidRPr="00E44D9F">
        <w:rPr>
          <w:rFonts w:ascii="Arial" w:eastAsia="Calibri" w:hAnsi="Arial" w:cs="Arial"/>
          <w:color w:val="auto"/>
          <w:sz w:val="22"/>
        </w:rPr>
        <w:t>precluded from performing safety</w:t>
      </w:r>
      <w:r w:rsidR="00F41172">
        <w:rPr>
          <w:rFonts w:ascii="Arial" w:eastAsia="Calibri" w:hAnsi="Arial" w:cs="Arial"/>
          <w:color w:val="auto"/>
          <w:sz w:val="22"/>
        </w:rPr>
        <w:t>-</w:t>
      </w:r>
      <w:r w:rsidRPr="00E44D9F">
        <w:rPr>
          <w:rFonts w:ascii="Arial" w:eastAsia="Calibri" w:hAnsi="Arial" w:cs="Arial"/>
          <w:color w:val="auto"/>
          <w:sz w:val="22"/>
        </w:rPr>
        <w:t xml:space="preserve">sensitive </w:t>
      </w:r>
      <w:r w:rsidRPr="00E44D9F">
        <w:rPr>
          <w:rFonts w:ascii="Arial" w:eastAsia="Calibri" w:hAnsi="Arial" w:cs="Arial"/>
          <w:color w:val="auto"/>
          <w:sz w:val="22"/>
          <w:szCs w:val="24"/>
        </w:rPr>
        <w:t>tasks such as driving and operating heavy machinery</w:t>
      </w:r>
      <w:r w:rsidRPr="00E44D9F">
        <w:rPr>
          <w:rFonts w:ascii="Arial" w:eastAsia="Calibri" w:hAnsi="Arial" w:cs="Arial"/>
          <w:color w:val="auto"/>
          <w:sz w:val="22"/>
        </w:rPr>
        <w:t xml:space="preserve"> while</w:t>
      </w:r>
      <w:r w:rsidRPr="00E44D9F">
        <w:rPr>
          <w:rFonts w:ascii="Arial" w:eastAsia="Calibri" w:hAnsi="Arial" w:cs="Arial"/>
          <w:color w:val="auto"/>
          <w:sz w:val="22"/>
          <w:szCs w:val="24"/>
        </w:rPr>
        <w:t xml:space="preserve"> taking opioids. </w:t>
      </w:r>
    </w:p>
    <w:p w:rsid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Discussion</w:t>
      </w:r>
    </w:p>
    <w:p w:rsidR="00E44D9F" w:rsidRPr="00322B75" w:rsidRDefault="00E44D9F" w:rsidP="001314A8">
      <w:pPr>
        <w:autoSpaceDN w:val="0"/>
        <w:ind w:left="360" w:right="-180"/>
        <w:rPr>
          <w:rFonts w:ascii="Arial" w:eastAsia="Calibri" w:hAnsi="Arial" w:cs="Arial"/>
          <w:b/>
          <w:i/>
          <w:color w:val="auto"/>
          <w:sz w:val="22"/>
          <w:szCs w:val="24"/>
        </w:rPr>
      </w:pPr>
      <w:r w:rsidRPr="00322B75">
        <w:rPr>
          <w:rFonts w:ascii="Arial" w:eastAsia="Calibri" w:hAnsi="Arial" w:cs="Arial"/>
          <w:i/>
          <w:color w:val="auto"/>
          <w:sz w:val="22"/>
          <w:szCs w:val="24"/>
        </w:rPr>
        <w:t>All large epidemiological studies found an increased risk of car accidents for working age adults taking opioids that ranged from 29% to 800%.</w:t>
      </w:r>
      <w:r w:rsidR="008A66DD" w:rsidRPr="00322B75">
        <w:rPr>
          <w:rFonts w:ascii="Arial" w:eastAsia="Calibri" w:hAnsi="Arial" w:cs="Arial"/>
          <w:i/>
          <w:color w:val="auto"/>
          <w:sz w:val="22"/>
          <w:szCs w:val="24"/>
        </w:rPr>
        <w:t xml:space="preserve">  </w:t>
      </w:r>
      <w:r w:rsidR="00262D75" w:rsidRPr="00322B75">
        <w:rPr>
          <w:rFonts w:ascii="Arial" w:eastAsia="Calibri" w:hAnsi="Arial" w:cs="Arial"/>
          <w:i/>
          <w:color w:val="auto"/>
          <w:sz w:val="22"/>
          <w:szCs w:val="24"/>
        </w:rPr>
        <w:t>M</w:t>
      </w:r>
      <w:r w:rsidR="009F395C" w:rsidRPr="00322B75">
        <w:rPr>
          <w:rFonts w:ascii="Arial" w:eastAsia="Calibri" w:hAnsi="Arial" w:cs="Arial"/>
          <w:i/>
          <w:color w:val="auto"/>
          <w:sz w:val="22"/>
          <w:szCs w:val="24"/>
        </w:rPr>
        <w:t>erely discourag</w:t>
      </w:r>
      <w:r w:rsidR="00262D75" w:rsidRPr="00322B75">
        <w:rPr>
          <w:rFonts w:ascii="Arial" w:eastAsia="Calibri" w:hAnsi="Arial" w:cs="Arial"/>
          <w:i/>
          <w:color w:val="auto"/>
          <w:sz w:val="22"/>
          <w:szCs w:val="24"/>
        </w:rPr>
        <w:t>ing injured employees from</w:t>
      </w:r>
      <w:r w:rsidR="009F395C" w:rsidRPr="00322B75">
        <w:rPr>
          <w:rFonts w:ascii="Arial" w:eastAsia="Calibri" w:hAnsi="Arial" w:cs="Arial"/>
          <w:i/>
          <w:color w:val="auto"/>
          <w:sz w:val="22"/>
          <w:szCs w:val="24"/>
        </w:rPr>
        <w:t xml:space="preserve"> </w:t>
      </w:r>
      <w:r w:rsidR="00262D75" w:rsidRPr="00322B75">
        <w:rPr>
          <w:rFonts w:ascii="Arial" w:eastAsia="Calibri" w:hAnsi="Arial" w:cs="Arial"/>
          <w:i/>
          <w:color w:val="auto"/>
          <w:sz w:val="22"/>
          <w:szCs w:val="24"/>
        </w:rPr>
        <w:t xml:space="preserve">operating heavy equipment and </w:t>
      </w:r>
      <w:r w:rsidR="009F395C" w:rsidRPr="00322B75">
        <w:rPr>
          <w:rFonts w:ascii="Arial" w:eastAsia="Calibri" w:hAnsi="Arial" w:cs="Arial"/>
          <w:i/>
          <w:color w:val="auto"/>
          <w:sz w:val="22"/>
          <w:szCs w:val="24"/>
        </w:rPr>
        <w:t>driving while on these medications</w:t>
      </w:r>
      <w:r w:rsidR="00262D75" w:rsidRPr="00322B75">
        <w:rPr>
          <w:rFonts w:ascii="Arial" w:eastAsia="Calibri" w:hAnsi="Arial" w:cs="Arial"/>
          <w:i/>
          <w:color w:val="auto"/>
          <w:sz w:val="22"/>
          <w:szCs w:val="24"/>
        </w:rPr>
        <w:t xml:space="preserve"> is inadequate and dangerous</w:t>
      </w:r>
      <w:r w:rsidR="007534E0" w:rsidRPr="00322B75">
        <w:rPr>
          <w:rFonts w:ascii="Arial" w:eastAsia="Calibri" w:hAnsi="Arial" w:cs="Arial"/>
          <w:i/>
          <w:color w:val="auto"/>
          <w:sz w:val="22"/>
          <w:szCs w:val="24"/>
        </w:rPr>
        <w:t>,</w:t>
      </w:r>
      <w:r w:rsidR="00262D75" w:rsidRPr="00322B75">
        <w:rPr>
          <w:rFonts w:ascii="Arial" w:eastAsia="Calibri" w:hAnsi="Arial" w:cs="Arial"/>
          <w:i/>
          <w:color w:val="auto"/>
          <w:sz w:val="22"/>
          <w:szCs w:val="24"/>
        </w:rPr>
        <w:t xml:space="preserve"> not only for</w:t>
      </w:r>
      <w:r w:rsidR="00DA3A7D" w:rsidRPr="00322B75">
        <w:rPr>
          <w:rFonts w:ascii="Arial" w:eastAsia="Calibri" w:hAnsi="Arial" w:cs="Arial"/>
          <w:i/>
          <w:color w:val="auto"/>
          <w:sz w:val="22"/>
          <w:szCs w:val="24"/>
        </w:rPr>
        <w:t xml:space="preserve"> these</w:t>
      </w:r>
      <w:r w:rsidR="00262D75" w:rsidRPr="00322B75">
        <w:rPr>
          <w:rFonts w:ascii="Arial" w:eastAsia="Calibri" w:hAnsi="Arial" w:cs="Arial"/>
          <w:i/>
          <w:color w:val="auto"/>
          <w:sz w:val="22"/>
          <w:szCs w:val="24"/>
        </w:rPr>
        <w:t xml:space="preserve"> injured employees, but </w:t>
      </w:r>
      <w:r w:rsidR="00DA3A7D" w:rsidRPr="00322B75">
        <w:rPr>
          <w:rFonts w:ascii="Arial" w:eastAsia="Calibri" w:hAnsi="Arial" w:cs="Arial"/>
          <w:i/>
          <w:color w:val="auto"/>
          <w:sz w:val="22"/>
          <w:szCs w:val="24"/>
        </w:rPr>
        <w:t xml:space="preserve">for </w:t>
      </w:r>
      <w:r w:rsidR="00262D75" w:rsidRPr="00322B75">
        <w:rPr>
          <w:rFonts w:ascii="Arial" w:eastAsia="Calibri" w:hAnsi="Arial" w:cs="Arial"/>
          <w:i/>
          <w:color w:val="auto"/>
          <w:sz w:val="22"/>
          <w:szCs w:val="24"/>
        </w:rPr>
        <w:t>others around them</w:t>
      </w:r>
      <w:r w:rsidR="007534E0" w:rsidRPr="00322B75">
        <w:rPr>
          <w:rFonts w:ascii="Arial" w:eastAsia="Calibri" w:hAnsi="Arial" w:cs="Arial"/>
          <w:i/>
          <w:color w:val="auto"/>
          <w:sz w:val="22"/>
          <w:szCs w:val="24"/>
        </w:rPr>
        <w:t xml:space="preserve"> as well</w:t>
      </w:r>
      <w:r w:rsidR="009F395C" w:rsidRPr="00322B75">
        <w:rPr>
          <w:rFonts w:ascii="Arial" w:eastAsia="Calibri" w:hAnsi="Arial" w:cs="Arial"/>
          <w:i/>
          <w:color w:val="auto"/>
          <w:sz w:val="22"/>
          <w:szCs w:val="24"/>
        </w:rPr>
        <w:t>.</w:t>
      </w:r>
    </w:p>
    <w:p w:rsidR="00E44D9F" w:rsidRDefault="00E44D9F" w:rsidP="00E44D9F">
      <w:pPr>
        <w:autoSpaceDN w:val="0"/>
        <w:rPr>
          <w:rFonts w:ascii="Arial" w:eastAsia="Calibri" w:hAnsi="Arial" w:cs="Arial"/>
          <w:b/>
          <w:color w:val="auto"/>
          <w:sz w:val="22"/>
          <w:szCs w:val="24"/>
        </w:rPr>
      </w:pPr>
    </w:p>
    <w:p w:rsidR="009A0111" w:rsidRDefault="009A0111"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 xml:space="preserve">Consider prohibiting </w:t>
      </w:r>
      <w:r w:rsidR="005C242B">
        <w:rPr>
          <w:rFonts w:ascii="Arial" w:eastAsia="Calibri" w:hAnsi="Arial" w:cs="Arial"/>
          <w:color w:val="auto"/>
          <w:sz w:val="22"/>
          <w:szCs w:val="24"/>
        </w:rPr>
        <w:t>the</w:t>
      </w:r>
      <w:r w:rsidRPr="00E44D9F">
        <w:rPr>
          <w:rFonts w:ascii="Arial" w:eastAsia="Calibri" w:hAnsi="Arial" w:cs="Arial"/>
          <w:color w:val="auto"/>
          <w:sz w:val="22"/>
          <w:szCs w:val="24"/>
        </w:rPr>
        <w:t xml:space="preserve"> dispensing </w:t>
      </w:r>
      <w:r w:rsidR="005C242B">
        <w:rPr>
          <w:rFonts w:ascii="Arial" w:eastAsia="Calibri" w:hAnsi="Arial" w:cs="Arial"/>
          <w:color w:val="auto"/>
          <w:sz w:val="22"/>
          <w:szCs w:val="24"/>
        </w:rPr>
        <w:t xml:space="preserve">of opioids to injured employees </w:t>
      </w:r>
      <w:r w:rsidRPr="00E44D9F">
        <w:rPr>
          <w:rFonts w:ascii="Arial" w:eastAsia="Calibri" w:hAnsi="Arial" w:cs="Arial"/>
          <w:color w:val="auto"/>
          <w:sz w:val="22"/>
          <w:szCs w:val="24"/>
        </w:rPr>
        <w:t xml:space="preserve">from physician offices and clinics. </w:t>
      </w: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Discussion</w:t>
      </w:r>
    </w:p>
    <w:p w:rsidR="00E44D9F" w:rsidRPr="00322B75" w:rsidRDefault="00E44D9F" w:rsidP="00322B7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In 2007, the DWC curtailed differential pricing for repackaged drugs dispensed from physicians’ offices by narrowing a loophole in the pharmacy fee schedule regulations.  The effect was an immediate reduction in both the volume and the amounts paid for these drugs.</w:t>
      </w:r>
      <w:r w:rsidRPr="00322B75">
        <w:rPr>
          <w:rFonts w:ascii="Arial" w:eastAsia="Calibri" w:hAnsi="Arial" w:cs="Arial"/>
          <w:i/>
          <w:color w:val="auto"/>
          <w:sz w:val="22"/>
          <w:szCs w:val="24"/>
          <w:vertAlign w:val="superscript"/>
        </w:rPr>
        <w:footnoteReference w:id="1"/>
      </w:r>
      <w:r w:rsidRPr="00322B75">
        <w:rPr>
          <w:rFonts w:ascii="Arial" w:eastAsia="Calibri" w:hAnsi="Arial" w:cs="Arial"/>
          <w:i/>
          <w:color w:val="auto"/>
          <w:sz w:val="22"/>
          <w:szCs w:val="24"/>
        </w:rPr>
        <w:t xml:space="preserve"> Because financial incentives for dispensing drugs from doctors’ offices still exist, it is no surprise that dispensing drugs from physicians’ offices is associated with higher drug utilization than dispensing drugs from pharmacies.  A 2013 Workers Compensation Research Institute study examined the impact of Florida’s ban on physician dispensing of stronger opioids that took effect in July 2011 and provided evidence that physician dispensing is associated with patients receiving more opioids than necessary.</w:t>
      </w:r>
      <w:r w:rsidRPr="00322B75">
        <w:rPr>
          <w:rFonts w:ascii="Arial" w:eastAsia="Calibri" w:hAnsi="Arial" w:cs="Arial"/>
          <w:i/>
          <w:color w:val="auto"/>
          <w:sz w:val="22"/>
          <w:szCs w:val="24"/>
          <w:vertAlign w:val="superscript"/>
        </w:rPr>
        <w:footnoteReference w:id="2"/>
      </w: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 xml:space="preserve">Ensure that opioids are prescribed by a single physician and dispensed from a single pharmacy by </w:t>
      </w:r>
      <w:r w:rsidRPr="009C12FA">
        <w:rPr>
          <w:rFonts w:ascii="Arial" w:eastAsia="Calibri" w:hAnsi="Arial" w:cs="Arial"/>
          <w:color w:val="auto"/>
          <w:sz w:val="22"/>
          <w:szCs w:val="24"/>
        </w:rPr>
        <w:t>requiring</w:t>
      </w:r>
      <w:r w:rsidRPr="00E44D9F">
        <w:rPr>
          <w:rFonts w:ascii="Arial" w:eastAsia="Calibri" w:hAnsi="Arial" w:cs="Arial"/>
          <w:color w:val="auto"/>
          <w:sz w:val="22"/>
          <w:szCs w:val="24"/>
        </w:rPr>
        <w:t xml:space="preserve"> the prescribing physician to consult CURES before writing each opioid prescription, except in emergency situations, and document the results of the CURES inquiry in the injured worker’s medical record.</w:t>
      </w:r>
    </w:p>
    <w:p w:rsidR="00E44D9F" w:rsidRDefault="00E44D9F" w:rsidP="00E44D9F">
      <w:pPr>
        <w:autoSpaceDN w:val="0"/>
        <w:rPr>
          <w:rFonts w:ascii="Arial" w:eastAsia="Calibri" w:hAnsi="Arial" w:cs="Arial"/>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Discussion</w:t>
      </w:r>
    </w:p>
    <w:p w:rsidR="00E44D9F" w:rsidRPr="00322B75" w:rsidRDefault="00E44D9F" w:rsidP="006A2BE5">
      <w:pPr>
        <w:overflowPunct w:val="0"/>
        <w:autoSpaceDE w:val="0"/>
        <w:autoSpaceDN w:val="0"/>
        <w:adjustRightInd w:val="0"/>
        <w:ind w:left="360"/>
        <w:rPr>
          <w:rFonts w:ascii="Arial" w:eastAsia="Calibri" w:hAnsi="Arial" w:cs="Arial"/>
          <w:i/>
          <w:color w:val="auto"/>
          <w:sz w:val="22"/>
          <w:szCs w:val="24"/>
        </w:rPr>
      </w:pPr>
      <w:r w:rsidRPr="00322B75">
        <w:rPr>
          <w:rFonts w:ascii="Arial" w:eastAsia="Calibri" w:hAnsi="Arial" w:cs="Arial"/>
          <w:i/>
          <w:color w:val="auto"/>
          <w:sz w:val="22"/>
          <w:szCs w:val="24"/>
        </w:rPr>
        <w:t xml:space="preserve">All dispensers of opioids and other Schedule II, III, and IV prescription drugs, including pharmacies, clinics and physicians must provide weekly dispensing reports to the Controlled Substance Utilization Review and Evaluation System (CURES), which is California’s Prescription Drug Monitoring Program (PDMP).  The program allows pre-registered </w:t>
      </w:r>
      <w:r w:rsidR="002A1386" w:rsidRPr="00322B75">
        <w:rPr>
          <w:rFonts w:ascii="Arial" w:eastAsia="Calibri" w:hAnsi="Arial" w:cs="Arial"/>
          <w:i/>
          <w:color w:val="auto"/>
          <w:sz w:val="22"/>
          <w:szCs w:val="24"/>
        </w:rPr>
        <w:t xml:space="preserve">users, </w:t>
      </w:r>
      <w:r w:rsidRPr="00322B75">
        <w:rPr>
          <w:rFonts w:ascii="Arial" w:eastAsia="Calibri" w:hAnsi="Arial" w:cs="Arial"/>
          <w:i/>
          <w:color w:val="auto"/>
          <w:sz w:val="22"/>
          <w:szCs w:val="24"/>
        </w:rPr>
        <w:t xml:space="preserve">including physicians and pharmacists, to access timely patient history on controlled drugs.  </w:t>
      </w:r>
    </w:p>
    <w:p w:rsidR="00E44D9F" w:rsidRPr="00322B75" w:rsidRDefault="00E44D9F" w:rsidP="006A2BE5">
      <w:pPr>
        <w:overflowPunct w:val="0"/>
        <w:autoSpaceDE w:val="0"/>
        <w:autoSpaceDN w:val="0"/>
        <w:adjustRightInd w:val="0"/>
        <w:ind w:left="360"/>
        <w:rPr>
          <w:rFonts w:ascii="Arial" w:eastAsia="Calibri" w:hAnsi="Arial" w:cs="Arial"/>
          <w:i/>
          <w:color w:val="auto"/>
          <w:sz w:val="22"/>
          <w:szCs w:val="24"/>
        </w:rPr>
      </w:pPr>
      <w:r w:rsidRPr="00322B75">
        <w:rPr>
          <w:rFonts w:ascii="Arial" w:eastAsia="Calibri" w:hAnsi="Arial" w:cs="Arial"/>
          <w:i/>
          <w:color w:val="auto"/>
          <w:sz w:val="22"/>
          <w:szCs w:val="24"/>
        </w:rPr>
        <w:t xml:space="preserve">Physicians can reduce the epidemic of opioid overdoses and diversions by confirming through CURES that patients are not </w:t>
      </w:r>
      <w:r w:rsidR="00D2652F" w:rsidRPr="00322B75">
        <w:rPr>
          <w:rFonts w:ascii="Arial" w:eastAsia="Calibri" w:hAnsi="Arial" w:cs="Arial"/>
          <w:i/>
          <w:color w:val="auto"/>
          <w:sz w:val="22"/>
          <w:szCs w:val="24"/>
        </w:rPr>
        <w:t>il</w:t>
      </w:r>
      <w:r w:rsidRPr="00322B75">
        <w:rPr>
          <w:rFonts w:ascii="Arial" w:eastAsia="Calibri" w:hAnsi="Arial" w:cs="Arial"/>
          <w:i/>
          <w:color w:val="auto"/>
          <w:sz w:val="22"/>
          <w:szCs w:val="24"/>
        </w:rPr>
        <w:t>legitimately or surreptitiously obtaining opioids and other scheduled drugs from other physicians and pharmacies.  Requiring physicians to check with CURES before writing the prescription will save lives.</w:t>
      </w:r>
      <w:r w:rsidR="00FB4D9A" w:rsidRPr="00322B75">
        <w:rPr>
          <w:rFonts w:ascii="Arial" w:eastAsia="Calibri" w:hAnsi="Arial" w:cs="Arial"/>
          <w:i/>
          <w:color w:val="auto"/>
          <w:sz w:val="22"/>
          <w:szCs w:val="24"/>
        </w:rPr>
        <w:t xml:space="preserve">  Suggesting they do so is helpful</w:t>
      </w:r>
      <w:r w:rsidR="00D2652F" w:rsidRPr="00322B75">
        <w:rPr>
          <w:rFonts w:ascii="Arial" w:eastAsia="Calibri" w:hAnsi="Arial" w:cs="Arial"/>
          <w:i/>
          <w:color w:val="auto"/>
          <w:sz w:val="22"/>
          <w:szCs w:val="24"/>
        </w:rPr>
        <w:t>,</w:t>
      </w:r>
      <w:r w:rsidR="00FB4D9A" w:rsidRPr="00322B75">
        <w:rPr>
          <w:rFonts w:ascii="Arial" w:eastAsia="Calibri" w:hAnsi="Arial" w:cs="Arial"/>
          <w:i/>
          <w:color w:val="auto"/>
          <w:sz w:val="22"/>
          <w:szCs w:val="24"/>
        </w:rPr>
        <w:t xml:space="preserve"> but </w:t>
      </w:r>
      <w:r w:rsidR="009B69CB" w:rsidRPr="00322B75">
        <w:rPr>
          <w:rFonts w:ascii="Arial" w:eastAsia="Calibri" w:hAnsi="Arial" w:cs="Arial"/>
          <w:i/>
          <w:color w:val="auto"/>
          <w:sz w:val="22"/>
          <w:szCs w:val="24"/>
        </w:rPr>
        <w:t xml:space="preserve">is </w:t>
      </w:r>
      <w:r w:rsidR="00FB4D9A" w:rsidRPr="00322B75">
        <w:rPr>
          <w:rFonts w:ascii="Arial" w:eastAsia="Calibri" w:hAnsi="Arial" w:cs="Arial"/>
          <w:i/>
          <w:color w:val="auto"/>
          <w:sz w:val="22"/>
          <w:szCs w:val="24"/>
        </w:rPr>
        <w:t xml:space="preserve">not </w:t>
      </w:r>
      <w:r w:rsidR="009B69CB" w:rsidRPr="00322B75">
        <w:rPr>
          <w:rFonts w:ascii="Arial" w:eastAsia="Calibri" w:hAnsi="Arial" w:cs="Arial"/>
          <w:i/>
          <w:color w:val="auto"/>
          <w:sz w:val="22"/>
          <w:szCs w:val="24"/>
        </w:rPr>
        <w:t>as effective as requiring them to do so</w:t>
      </w:r>
      <w:r w:rsidR="00FB4D9A" w:rsidRPr="00322B75">
        <w:rPr>
          <w:rFonts w:ascii="Arial" w:eastAsia="Calibri" w:hAnsi="Arial" w:cs="Arial"/>
          <w:i/>
          <w:color w:val="auto"/>
          <w:sz w:val="22"/>
          <w:szCs w:val="24"/>
        </w:rPr>
        <w:t>.</w:t>
      </w:r>
    </w:p>
    <w:p w:rsidR="00E44D9F" w:rsidRPr="00E44D9F" w:rsidRDefault="00E44D9F" w:rsidP="00E44D9F">
      <w:pPr>
        <w:overflowPunct w:val="0"/>
        <w:autoSpaceDE w:val="0"/>
        <w:autoSpaceDN w:val="0"/>
        <w:adjustRightInd w:val="0"/>
        <w:rPr>
          <w:rFonts w:ascii="Arial" w:eastAsia="Calibri" w:hAnsi="Arial" w:cs="Arial"/>
          <w:color w:val="auto"/>
          <w:sz w:val="22"/>
          <w:szCs w:val="24"/>
        </w:rPr>
      </w:pPr>
    </w:p>
    <w:p w:rsidR="00E44D9F" w:rsidRPr="00E44D9F" w:rsidRDefault="00E44D9F" w:rsidP="00E44D9F">
      <w:pPr>
        <w:overflowPunct w:val="0"/>
        <w:autoSpaceDE w:val="0"/>
        <w:autoSpaceDN w:val="0"/>
        <w:adjustRightInd w:val="0"/>
        <w:rPr>
          <w:rFonts w:ascii="Arial" w:eastAsia="Calibri" w:hAnsi="Arial" w:cs="Arial"/>
          <w:color w:val="auto"/>
          <w:sz w:val="22"/>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Specify “recommended”</w:t>
      </w:r>
      <w:r w:rsidR="00921FC3">
        <w:rPr>
          <w:rFonts w:ascii="Arial" w:eastAsia="Calibri" w:hAnsi="Arial" w:cs="Arial"/>
          <w:color w:val="auto"/>
          <w:sz w:val="22"/>
          <w:szCs w:val="24"/>
        </w:rPr>
        <w:t xml:space="preserve"> or</w:t>
      </w:r>
      <w:r w:rsidRPr="00E44D9F">
        <w:rPr>
          <w:rFonts w:ascii="Arial" w:eastAsia="Calibri" w:hAnsi="Arial" w:cs="Arial"/>
          <w:color w:val="auto"/>
          <w:sz w:val="22"/>
          <w:szCs w:val="24"/>
        </w:rPr>
        <w:t xml:space="preserve"> “not recommended” and the strength of evidence/consensus</w:t>
      </w:r>
      <w:r w:rsidR="00921FC3">
        <w:rPr>
          <w:rFonts w:ascii="Arial" w:eastAsia="Calibri" w:hAnsi="Arial" w:cs="Arial"/>
          <w:color w:val="auto"/>
          <w:sz w:val="22"/>
          <w:szCs w:val="24"/>
        </w:rPr>
        <w:t xml:space="preserve"> for each recommendation</w:t>
      </w:r>
      <w:r w:rsidRPr="00E44D9F">
        <w:rPr>
          <w:rFonts w:ascii="Arial" w:eastAsia="Calibri" w:hAnsi="Arial" w:cs="Arial"/>
          <w:color w:val="auto"/>
          <w:sz w:val="22"/>
          <w:szCs w:val="24"/>
        </w:rPr>
        <w:t>.</w:t>
      </w:r>
    </w:p>
    <w:p w:rsidR="00E44D9F" w:rsidRDefault="00E44D9F" w:rsidP="00E44D9F">
      <w:pPr>
        <w:overflowPunct w:val="0"/>
        <w:autoSpaceDN w:val="0"/>
        <w:adjustRightInd w:val="0"/>
        <w:ind w:left="360"/>
        <w:rPr>
          <w:rFonts w:ascii="Arial" w:eastAsia="Calibri" w:hAnsi="Arial" w:cs="Arial"/>
          <w:color w:val="auto"/>
          <w:sz w:val="22"/>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lastRenderedPageBreak/>
        <w:t>Discussion</w:t>
      </w:r>
    </w:p>
    <w:p w:rsidR="00E44D9F" w:rsidRPr="00322B75" w:rsidRDefault="00E44D9F" w:rsidP="006A2BE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 xml:space="preserve">It is necessary to indicate the recommendation status </w:t>
      </w:r>
      <w:r w:rsidR="00361555" w:rsidRPr="00322B75">
        <w:rPr>
          <w:rFonts w:ascii="Arial" w:eastAsia="Calibri" w:hAnsi="Arial" w:cs="Arial"/>
          <w:i/>
          <w:color w:val="auto"/>
          <w:sz w:val="22"/>
          <w:szCs w:val="24"/>
        </w:rPr>
        <w:t>as well as</w:t>
      </w:r>
      <w:r w:rsidRPr="00322B75">
        <w:rPr>
          <w:rFonts w:ascii="Arial" w:eastAsia="Calibri" w:hAnsi="Arial" w:cs="Arial"/>
          <w:i/>
          <w:color w:val="auto"/>
          <w:sz w:val="22"/>
          <w:szCs w:val="24"/>
        </w:rPr>
        <w:t xml:space="preserve"> the </w:t>
      </w:r>
      <w:r w:rsidR="00115233" w:rsidRPr="00322B75">
        <w:rPr>
          <w:rFonts w:ascii="Arial" w:eastAsia="Calibri" w:hAnsi="Arial" w:cs="Arial"/>
          <w:i/>
          <w:color w:val="auto"/>
          <w:sz w:val="22"/>
          <w:szCs w:val="24"/>
        </w:rPr>
        <w:t xml:space="preserve">quality and </w:t>
      </w:r>
      <w:r w:rsidRPr="00322B75">
        <w:rPr>
          <w:rFonts w:ascii="Arial" w:eastAsia="Calibri" w:hAnsi="Arial" w:cs="Arial"/>
          <w:i/>
          <w:color w:val="auto"/>
          <w:sz w:val="22"/>
          <w:szCs w:val="24"/>
        </w:rPr>
        <w:t xml:space="preserve">strength of evidence/consensus </w:t>
      </w:r>
      <w:r w:rsidR="0020649C" w:rsidRPr="00322B75">
        <w:rPr>
          <w:rFonts w:ascii="Arial" w:eastAsia="Calibri" w:hAnsi="Arial" w:cs="Arial"/>
          <w:i/>
          <w:color w:val="auto"/>
          <w:sz w:val="22"/>
          <w:szCs w:val="24"/>
        </w:rPr>
        <w:t xml:space="preserve">pursuant to </w:t>
      </w:r>
      <w:r w:rsidR="00634AD3" w:rsidRPr="00322B75">
        <w:rPr>
          <w:rFonts w:ascii="Arial" w:eastAsia="Calibri" w:hAnsi="Arial" w:cs="Arial"/>
          <w:i/>
          <w:color w:val="auto"/>
          <w:sz w:val="22"/>
          <w:szCs w:val="24"/>
        </w:rPr>
        <w:t>section 9792.</w:t>
      </w:r>
      <w:r w:rsidR="0081268E" w:rsidRPr="00322B75">
        <w:rPr>
          <w:rFonts w:ascii="Arial" w:eastAsia="Calibri" w:hAnsi="Arial" w:cs="Arial"/>
          <w:i/>
          <w:color w:val="auto"/>
          <w:sz w:val="22"/>
          <w:szCs w:val="24"/>
        </w:rPr>
        <w:t>25.1</w:t>
      </w:r>
      <w:r w:rsidR="0020649C" w:rsidRPr="00322B75">
        <w:rPr>
          <w:rFonts w:ascii="Arial" w:eastAsia="Calibri" w:hAnsi="Arial" w:cs="Arial"/>
          <w:i/>
          <w:color w:val="auto"/>
          <w:sz w:val="22"/>
          <w:szCs w:val="24"/>
        </w:rPr>
        <w:t xml:space="preserve"> </w:t>
      </w:r>
      <w:r w:rsidRPr="00322B75">
        <w:rPr>
          <w:rFonts w:ascii="Arial" w:eastAsia="Calibri" w:hAnsi="Arial" w:cs="Arial"/>
          <w:i/>
          <w:color w:val="auto"/>
          <w:sz w:val="22"/>
          <w:szCs w:val="24"/>
        </w:rPr>
        <w:t>for each</w:t>
      </w:r>
      <w:r w:rsidR="00765AC2" w:rsidRPr="00322B75">
        <w:rPr>
          <w:rFonts w:ascii="Arial" w:eastAsia="Calibri" w:hAnsi="Arial" w:cs="Arial"/>
          <w:i/>
          <w:color w:val="auto"/>
          <w:sz w:val="22"/>
          <w:szCs w:val="24"/>
        </w:rPr>
        <w:t xml:space="preserve"> recommendation</w:t>
      </w:r>
      <w:r w:rsidR="001443F5" w:rsidRPr="00322B75">
        <w:rPr>
          <w:rFonts w:ascii="Arial" w:eastAsia="Calibri" w:hAnsi="Arial" w:cs="Arial"/>
          <w:i/>
          <w:color w:val="auto"/>
          <w:sz w:val="22"/>
          <w:szCs w:val="24"/>
        </w:rPr>
        <w:t>,</w:t>
      </w:r>
      <w:r w:rsidRPr="00322B75">
        <w:rPr>
          <w:rFonts w:ascii="Arial" w:eastAsia="Calibri" w:hAnsi="Arial" w:cs="Arial"/>
          <w:i/>
          <w:color w:val="auto"/>
          <w:sz w:val="22"/>
          <w:szCs w:val="24"/>
        </w:rPr>
        <w:t xml:space="preserve"> so that the strength of alternative evidence can be properly compared</w:t>
      </w:r>
      <w:r w:rsidR="004577EE" w:rsidRPr="00322B75">
        <w:rPr>
          <w:rFonts w:ascii="Arial" w:eastAsia="Calibri" w:hAnsi="Arial" w:cs="Arial"/>
          <w:i/>
          <w:color w:val="auto"/>
          <w:sz w:val="22"/>
          <w:szCs w:val="24"/>
        </w:rPr>
        <w:t xml:space="preserve">.  This is necessary when a physician challenges the presumption of correctness pursuant to </w:t>
      </w:r>
      <w:r w:rsidR="000B076E" w:rsidRPr="00322B75">
        <w:rPr>
          <w:rFonts w:ascii="Arial" w:eastAsia="Calibri" w:hAnsi="Arial" w:cs="Arial"/>
          <w:i/>
          <w:color w:val="auto"/>
          <w:sz w:val="22"/>
          <w:szCs w:val="24"/>
        </w:rPr>
        <w:t>section</w:t>
      </w:r>
      <w:r w:rsidR="00E94D27" w:rsidRPr="00322B75">
        <w:rPr>
          <w:rFonts w:ascii="Arial" w:eastAsia="Calibri" w:hAnsi="Arial" w:cs="Arial"/>
          <w:i/>
          <w:color w:val="auto"/>
          <w:sz w:val="22"/>
          <w:szCs w:val="24"/>
        </w:rPr>
        <w:t>s</w:t>
      </w:r>
      <w:r w:rsidR="000B076E" w:rsidRPr="00322B75">
        <w:rPr>
          <w:rFonts w:ascii="Arial" w:eastAsia="Calibri" w:hAnsi="Arial" w:cs="Arial"/>
          <w:i/>
          <w:color w:val="auto"/>
          <w:sz w:val="22"/>
          <w:szCs w:val="24"/>
        </w:rPr>
        <w:t xml:space="preserve"> 9792.21</w:t>
      </w:r>
      <w:r w:rsidR="008B3081" w:rsidRPr="00322B75">
        <w:rPr>
          <w:rFonts w:ascii="Arial" w:eastAsia="Calibri" w:hAnsi="Arial" w:cs="Arial"/>
          <w:i/>
          <w:color w:val="auto"/>
          <w:sz w:val="22"/>
          <w:szCs w:val="24"/>
        </w:rPr>
        <w:t xml:space="preserve">(d)(2) </w:t>
      </w:r>
      <w:r w:rsidR="00E94D27" w:rsidRPr="00322B75">
        <w:rPr>
          <w:rFonts w:ascii="Arial" w:eastAsia="Calibri" w:hAnsi="Arial" w:cs="Arial"/>
          <w:i/>
          <w:color w:val="auto"/>
          <w:sz w:val="22"/>
          <w:szCs w:val="24"/>
        </w:rPr>
        <w:t>and 9792.21.1(a)(2)(C)</w:t>
      </w:r>
      <w:r w:rsidR="00765AC2" w:rsidRPr="00322B75">
        <w:rPr>
          <w:rFonts w:ascii="Arial" w:eastAsia="Calibri" w:hAnsi="Arial" w:cs="Arial"/>
          <w:i/>
          <w:color w:val="auto"/>
          <w:sz w:val="22"/>
          <w:szCs w:val="24"/>
        </w:rPr>
        <w:t>,</w:t>
      </w:r>
      <w:r w:rsidR="00E94D27" w:rsidRPr="00322B75">
        <w:rPr>
          <w:rFonts w:ascii="Arial" w:eastAsia="Calibri" w:hAnsi="Arial" w:cs="Arial"/>
          <w:i/>
          <w:color w:val="auto"/>
          <w:sz w:val="22"/>
          <w:szCs w:val="24"/>
        </w:rPr>
        <w:t xml:space="preserve"> and when</w:t>
      </w:r>
      <w:r w:rsidR="000B076E" w:rsidRPr="00322B75">
        <w:rPr>
          <w:rFonts w:ascii="Arial" w:eastAsia="Calibri" w:hAnsi="Arial" w:cs="Arial"/>
          <w:i/>
          <w:color w:val="auto"/>
          <w:sz w:val="22"/>
          <w:szCs w:val="24"/>
        </w:rPr>
        <w:t xml:space="preserve"> reviewing physicians must determine the level of </w:t>
      </w:r>
      <w:r w:rsidR="004C1955" w:rsidRPr="00322B75">
        <w:rPr>
          <w:rFonts w:ascii="Arial" w:eastAsia="Calibri" w:hAnsi="Arial" w:cs="Arial"/>
          <w:i/>
          <w:color w:val="auto"/>
          <w:sz w:val="22"/>
          <w:szCs w:val="24"/>
        </w:rPr>
        <w:t xml:space="preserve">the evidence cited by the physician </w:t>
      </w:r>
      <w:r w:rsidR="000B076E" w:rsidRPr="00322B75">
        <w:rPr>
          <w:rFonts w:ascii="Arial" w:eastAsia="Calibri" w:hAnsi="Arial" w:cs="Arial"/>
          <w:i/>
          <w:color w:val="auto"/>
          <w:sz w:val="22"/>
          <w:szCs w:val="24"/>
        </w:rPr>
        <w:t xml:space="preserve">pursuant to </w:t>
      </w:r>
      <w:r w:rsidR="004577EE" w:rsidRPr="00322B75">
        <w:rPr>
          <w:rFonts w:ascii="Arial" w:eastAsia="Calibri" w:hAnsi="Arial" w:cs="Arial"/>
          <w:i/>
          <w:color w:val="auto"/>
          <w:sz w:val="22"/>
          <w:szCs w:val="24"/>
        </w:rPr>
        <w:t xml:space="preserve">section </w:t>
      </w:r>
      <w:r w:rsidR="003A4945" w:rsidRPr="00322B75">
        <w:rPr>
          <w:rFonts w:ascii="Arial" w:eastAsia="Calibri" w:hAnsi="Arial" w:cs="Arial"/>
          <w:i/>
          <w:color w:val="auto"/>
          <w:sz w:val="22"/>
          <w:szCs w:val="24"/>
        </w:rPr>
        <w:t>9792.25</w:t>
      </w:r>
      <w:r w:rsidR="003569EF" w:rsidRPr="00322B75">
        <w:rPr>
          <w:rFonts w:ascii="Arial" w:eastAsia="Calibri" w:hAnsi="Arial" w:cs="Arial"/>
          <w:i/>
          <w:color w:val="auto"/>
          <w:sz w:val="22"/>
          <w:szCs w:val="24"/>
        </w:rPr>
        <w:t>.1(a)(</w:t>
      </w:r>
      <w:r w:rsidR="00D3362B" w:rsidRPr="00322B75">
        <w:rPr>
          <w:rFonts w:ascii="Arial" w:eastAsia="Calibri" w:hAnsi="Arial" w:cs="Arial"/>
          <w:i/>
          <w:color w:val="auto"/>
          <w:sz w:val="22"/>
          <w:szCs w:val="24"/>
        </w:rPr>
        <w:t>4</w:t>
      </w:r>
      <w:r w:rsidR="003569EF" w:rsidRPr="00322B75">
        <w:rPr>
          <w:rFonts w:ascii="Arial" w:eastAsia="Calibri" w:hAnsi="Arial" w:cs="Arial"/>
          <w:i/>
          <w:color w:val="auto"/>
          <w:sz w:val="22"/>
          <w:szCs w:val="24"/>
        </w:rPr>
        <w:t>)</w:t>
      </w:r>
      <w:r w:rsidR="004C1955" w:rsidRPr="00322B75">
        <w:rPr>
          <w:rFonts w:ascii="Arial" w:eastAsia="Calibri" w:hAnsi="Arial" w:cs="Arial"/>
          <w:i/>
          <w:color w:val="auto"/>
          <w:sz w:val="22"/>
          <w:szCs w:val="24"/>
        </w:rPr>
        <w:t xml:space="preserve"> and compare it </w:t>
      </w:r>
      <w:r w:rsidR="00765AC2" w:rsidRPr="00322B75">
        <w:rPr>
          <w:rFonts w:ascii="Arial" w:eastAsia="Calibri" w:hAnsi="Arial" w:cs="Arial"/>
          <w:i/>
          <w:color w:val="auto"/>
          <w:sz w:val="22"/>
          <w:szCs w:val="24"/>
        </w:rPr>
        <w:t xml:space="preserve">to </w:t>
      </w:r>
      <w:r w:rsidR="004C1955" w:rsidRPr="00322B75">
        <w:rPr>
          <w:rFonts w:ascii="Arial" w:eastAsia="Calibri" w:hAnsi="Arial" w:cs="Arial"/>
          <w:i/>
          <w:color w:val="auto"/>
          <w:sz w:val="22"/>
          <w:szCs w:val="24"/>
        </w:rPr>
        <w:t>the level of evidence that underlies the MTUS recommendation</w:t>
      </w:r>
      <w:r w:rsidRPr="00322B75">
        <w:rPr>
          <w:rFonts w:ascii="Arial" w:eastAsia="Calibri" w:hAnsi="Arial" w:cs="Arial"/>
          <w:i/>
          <w:color w:val="auto"/>
          <w:sz w:val="22"/>
          <w:szCs w:val="24"/>
        </w:rPr>
        <w:t>.</w:t>
      </w:r>
      <w:r w:rsidR="00361555" w:rsidRPr="00322B75">
        <w:rPr>
          <w:rFonts w:ascii="Arial" w:eastAsia="Calibri" w:hAnsi="Arial" w:cs="Arial"/>
          <w:i/>
          <w:color w:val="auto"/>
          <w:sz w:val="22"/>
          <w:szCs w:val="24"/>
        </w:rPr>
        <w:t xml:space="preserve">  </w:t>
      </w:r>
    </w:p>
    <w:p w:rsidR="004A4B23" w:rsidRPr="00322B75" w:rsidRDefault="004A4B23" w:rsidP="006A2BE5">
      <w:pPr>
        <w:autoSpaceDN w:val="0"/>
        <w:ind w:left="360"/>
        <w:rPr>
          <w:rFonts w:ascii="Arial" w:eastAsia="Calibri" w:hAnsi="Arial" w:cs="Arial"/>
          <w:i/>
          <w:color w:val="auto"/>
          <w:sz w:val="22"/>
          <w:szCs w:val="24"/>
        </w:rPr>
      </w:pPr>
    </w:p>
    <w:p w:rsidR="004A4B23" w:rsidRPr="00322B75" w:rsidRDefault="004A4B23" w:rsidP="006A2BE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If th</w:t>
      </w:r>
      <w:r w:rsidR="008F3F97" w:rsidRPr="00322B75">
        <w:rPr>
          <w:rFonts w:ascii="Arial" w:eastAsia="Calibri" w:hAnsi="Arial" w:cs="Arial"/>
          <w:i/>
          <w:color w:val="auto"/>
          <w:sz w:val="22"/>
          <w:szCs w:val="24"/>
        </w:rPr>
        <w:t>e recommendation status and the quality and strength of evidence/consensus pursuant to section 9792.25.1 is not provided for each</w:t>
      </w:r>
      <w:r w:rsidR="00323B88" w:rsidRPr="00322B75">
        <w:rPr>
          <w:rFonts w:ascii="Arial" w:eastAsia="Calibri" w:hAnsi="Arial" w:cs="Arial"/>
          <w:i/>
          <w:color w:val="auto"/>
          <w:sz w:val="22"/>
          <w:szCs w:val="24"/>
        </w:rPr>
        <w:t xml:space="preserve"> recommendation</w:t>
      </w:r>
      <w:r w:rsidR="008F3F97" w:rsidRPr="00322B75">
        <w:rPr>
          <w:rFonts w:ascii="Arial" w:eastAsia="Calibri" w:hAnsi="Arial" w:cs="Arial"/>
          <w:i/>
          <w:color w:val="auto"/>
          <w:sz w:val="22"/>
          <w:szCs w:val="24"/>
        </w:rPr>
        <w:t xml:space="preserve">, </w:t>
      </w:r>
      <w:r w:rsidR="00765AC2" w:rsidRPr="00322B75">
        <w:rPr>
          <w:rFonts w:ascii="Arial" w:eastAsia="Calibri" w:hAnsi="Arial" w:cs="Arial"/>
          <w:i/>
          <w:color w:val="auto"/>
          <w:sz w:val="22"/>
          <w:szCs w:val="24"/>
        </w:rPr>
        <w:t xml:space="preserve">both the </w:t>
      </w:r>
      <w:r w:rsidR="00A978D4" w:rsidRPr="00322B75">
        <w:rPr>
          <w:rFonts w:ascii="Arial" w:eastAsia="Calibri" w:hAnsi="Arial" w:cs="Arial"/>
          <w:i/>
          <w:color w:val="auto"/>
          <w:sz w:val="22"/>
          <w:szCs w:val="24"/>
        </w:rPr>
        <w:t xml:space="preserve">UR </w:t>
      </w:r>
      <w:r w:rsidR="008F3F97" w:rsidRPr="00322B75">
        <w:rPr>
          <w:rFonts w:ascii="Arial" w:eastAsia="Calibri" w:hAnsi="Arial" w:cs="Arial"/>
          <w:i/>
          <w:color w:val="auto"/>
          <w:sz w:val="22"/>
          <w:szCs w:val="24"/>
        </w:rPr>
        <w:t xml:space="preserve">and </w:t>
      </w:r>
      <w:r w:rsidR="00A978D4" w:rsidRPr="00322B75">
        <w:rPr>
          <w:rFonts w:ascii="Arial" w:eastAsia="Calibri" w:hAnsi="Arial" w:cs="Arial"/>
          <w:i/>
          <w:color w:val="auto"/>
          <w:sz w:val="22"/>
          <w:szCs w:val="24"/>
        </w:rPr>
        <w:t>IMR physicians must identify and asses</w:t>
      </w:r>
      <w:r w:rsidR="00765AC2" w:rsidRPr="00322B75">
        <w:rPr>
          <w:rFonts w:ascii="Arial" w:eastAsia="Calibri" w:hAnsi="Arial" w:cs="Arial"/>
          <w:i/>
          <w:color w:val="auto"/>
          <w:sz w:val="22"/>
          <w:szCs w:val="24"/>
        </w:rPr>
        <w:t>s</w:t>
      </w:r>
      <w:r w:rsidR="00A978D4" w:rsidRPr="00322B75">
        <w:rPr>
          <w:rFonts w:ascii="Arial" w:eastAsia="Calibri" w:hAnsi="Arial" w:cs="Arial"/>
          <w:i/>
          <w:color w:val="auto"/>
          <w:sz w:val="22"/>
          <w:szCs w:val="24"/>
        </w:rPr>
        <w:t xml:space="preserve"> the underlying medical</w:t>
      </w:r>
      <w:r w:rsidR="00887926" w:rsidRPr="00322B75">
        <w:rPr>
          <w:rFonts w:ascii="Arial" w:eastAsia="Calibri" w:hAnsi="Arial" w:cs="Arial"/>
          <w:i/>
          <w:color w:val="auto"/>
          <w:sz w:val="22"/>
          <w:szCs w:val="24"/>
        </w:rPr>
        <w:t xml:space="preserve"> evidence pursuant to 9792.25.1(a)(4)</w:t>
      </w:r>
      <w:r w:rsidR="00765AC2" w:rsidRPr="00322B75">
        <w:rPr>
          <w:rFonts w:ascii="Arial" w:eastAsia="Calibri" w:hAnsi="Arial" w:cs="Arial"/>
          <w:i/>
          <w:color w:val="auto"/>
          <w:sz w:val="22"/>
          <w:szCs w:val="24"/>
        </w:rPr>
        <w:t xml:space="preserve">, </w:t>
      </w:r>
      <w:r w:rsidR="00887926" w:rsidRPr="00322B75">
        <w:rPr>
          <w:rFonts w:ascii="Arial" w:eastAsia="Calibri" w:hAnsi="Arial" w:cs="Arial"/>
          <w:i/>
          <w:color w:val="auto"/>
          <w:sz w:val="22"/>
          <w:szCs w:val="24"/>
        </w:rPr>
        <w:t>creat</w:t>
      </w:r>
      <w:r w:rsidR="00765AC2" w:rsidRPr="00322B75">
        <w:rPr>
          <w:rFonts w:ascii="Arial" w:eastAsia="Calibri" w:hAnsi="Arial" w:cs="Arial"/>
          <w:i/>
          <w:color w:val="auto"/>
          <w:sz w:val="22"/>
          <w:szCs w:val="24"/>
        </w:rPr>
        <w:t>ing</w:t>
      </w:r>
      <w:r w:rsidR="00887926" w:rsidRPr="00322B75">
        <w:rPr>
          <w:rFonts w:ascii="Arial" w:eastAsia="Calibri" w:hAnsi="Arial" w:cs="Arial"/>
          <w:i/>
          <w:color w:val="auto"/>
          <w:sz w:val="22"/>
          <w:szCs w:val="24"/>
        </w:rPr>
        <w:t xml:space="preserve"> </w:t>
      </w:r>
      <w:r w:rsidR="000C4106" w:rsidRPr="00322B75">
        <w:rPr>
          <w:rFonts w:ascii="Arial" w:eastAsia="Calibri" w:hAnsi="Arial" w:cs="Arial"/>
          <w:i/>
          <w:color w:val="auto"/>
          <w:sz w:val="22"/>
          <w:szCs w:val="24"/>
        </w:rPr>
        <w:t xml:space="preserve">an </w:t>
      </w:r>
      <w:r w:rsidR="00887926" w:rsidRPr="00322B75">
        <w:rPr>
          <w:rFonts w:ascii="Arial" w:eastAsia="Calibri" w:hAnsi="Arial" w:cs="Arial"/>
          <w:i/>
          <w:color w:val="auto"/>
          <w:sz w:val="22"/>
          <w:szCs w:val="24"/>
        </w:rPr>
        <w:t>unnecessary additional burden</w:t>
      </w:r>
      <w:r w:rsidR="004A332A" w:rsidRPr="00322B75">
        <w:rPr>
          <w:rFonts w:ascii="Arial" w:eastAsia="Calibri" w:hAnsi="Arial" w:cs="Arial"/>
          <w:i/>
          <w:color w:val="auto"/>
          <w:sz w:val="22"/>
          <w:szCs w:val="24"/>
        </w:rPr>
        <w:t xml:space="preserve"> and uncertainty.</w:t>
      </w:r>
      <w:r w:rsidR="00887926" w:rsidRPr="00322B75">
        <w:rPr>
          <w:rFonts w:ascii="Arial" w:eastAsia="Calibri" w:hAnsi="Arial" w:cs="Arial"/>
          <w:i/>
          <w:color w:val="auto"/>
          <w:sz w:val="22"/>
          <w:szCs w:val="24"/>
        </w:rPr>
        <w:t xml:space="preserve">  </w:t>
      </w:r>
      <w:r w:rsidR="005036CD" w:rsidRPr="00322B75">
        <w:rPr>
          <w:rFonts w:ascii="Arial" w:eastAsia="Calibri" w:hAnsi="Arial" w:cs="Arial"/>
          <w:i/>
          <w:color w:val="auto"/>
          <w:sz w:val="22"/>
          <w:szCs w:val="24"/>
        </w:rPr>
        <w:t xml:space="preserve">Since the proposed Opioids Treatment Guidelines adopt recommendations </w:t>
      </w:r>
      <w:r w:rsidR="00155E6A" w:rsidRPr="00322B75">
        <w:rPr>
          <w:rFonts w:ascii="Arial" w:eastAsia="Calibri" w:hAnsi="Arial" w:cs="Arial"/>
          <w:i/>
          <w:color w:val="auto"/>
          <w:sz w:val="22"/>
          <w:szCs w:val="24"/>
        </w:rPr>
        <w:t xml:space="preserve">that are found to be </w:t>
      </w:r>
      <w:r w:rsidR="005036CD" w:rsidRPr="00322B75">
        <w:rPr>
          <w:rFonts w:ascii="Arial" w:eastAsia="Calibri" w:hAnsi="Arial" w:cs="Arial"/>
          <w:i/>
          <w:color w:val="auto"/>
          <w:sz w:val="22"/>
          <w:szCs w:val="24"/>
        </w:rPr>
        <w:t>in common among other existing guidelines</w:t>
      </w:r>
      <w:r w:rsidR="00D90CE6" w:rsidRPr="00322B75">
        <w:rPr>
          <w:rFonts w:ascii="Arial" w:eastAsia="Calibri" w:hAnsi="Arial" w:cs="Arial"/>
          <w:i/>
          <w:color w:val="auto"/>
          <w:sz w:val="22"/>
          <w:szCs w:val="24"/>
        </w:rPr>
        <w:t xml:space="preserve">, reviewing physicians </w:t>
      </w:r>
      <w:r w:rsidR="008237D6" w:rsidRPr="00322B75">
        <w:rPr>
          <w:rFonts w:ascii="Arial" w:eastAsia="Calibri" w:hAnsi="Arial" w:cs="Arial"/>
          <w:i/>
          <w:color w:val="auto"/>
          <w:sz w:val="22"/>
          <w:szCs w:val="24"/>
        </w:rPr>
        <w:t xml:space="preserve">may have to identify the underlying medical evidence for </w:t>
      </w:r>
      <w:r w:rsidR="00F112D7" w:rsidRPr="00322B75">
        <w:rPr>
          <w:rFonts w:ascii="Arial" w:eastAsia="Calibri" w:hAnsi="Arial" w:cs="Arial"/>
          <w:i/>
          <w:color w:val="auto"/>
          <w:sz w:val="22"/>
          <w:szCs w:val="24"/>
        </w:rPr>
        <w:t xml:space="preserve">the recommendation in </w:t>
      </w:r>
      <w:r w:rsidR="008237D6" w:rsidRPr="00322B75">
        <w:rPr>
          <w:rFonts w:ascii="Arial" w:eastAsia="Calibri" w:hAnsi="Arial" w:cs="Arial"/>
          <w:i/>
          <w:color w:val="auto"/>
          <w:sz w:val="22"/>
          <w:szCs w:val="24"/>
        </w:rPr>
        <w:t>each of these existing guidelines and assess the quality and stren</w:t>
      </w:r>
      <w:r w:rsidR="00F112D7" w:rsidRPr="00322B75">
        <w:rPr>
          <w:rFonts w:ascii="Arial" w:eastAsia="Calibri" w:hAnsi="Arial" w:cs="Arial"/>
          <w:i/>
          <w:color w:val="auto"/>
          <w:sz w:val="22"/>
          <w:szCs w:val="24"/>
        </w:rPr>
        <w:t>g</w:t>
      </w:r>
      <w:r w:rsidR="008237D6" w:rsidRPr="00322B75">
        <w:rPr>
          <w:rFonts w:ascii="Arial" w:eastAsia="Calibri" w:hAnsi="Arial" w:cs="Arial"/>
          <w:i/>
          <w:color w:val="auto"/>
          <w:sz w:val="22"/>
          <w:szCs w:val="24"/>
        </w:rPr>
        <w:t>th</w:t>
      </w:r>
      <w:r w:rsidR="00F112D7" w:rsidRPr="00322B75">
        <w:rPr>
          <w:rFonts w:ascii="Arial" w:eastAsia="Calibri" w:hAnsi="Arial" w:cs="Arial"/>
          <w:i/>
          <w:color w:val="auto"/>
          <w:sz w:val="22"/>
          <w:szCs w:val="24"/>
        </w:rPr>
        <w:t xml:space="preserve"> of every one; a daunting</w:t>
      </w:r>
      <w:r w:rsidR="00155E6A" w:rsidRPr="00322B75">
        <w:rPr>
          <w:rFonts w:ascii="Arial" w:eastAsia="Calibri" w:hAnsi="Arial" w:cs="Arial"/>
          <w:i/>
          <w:color w:val="auto"/>
          <w:sz w:val="22"/>
          <w:szCs w:val="24"/>
        </w:rPr>
        <w:t>, time consuming</w:t>
      </w:r>
      <w:r w:rsidR="00F112D7" w:rsidRPr="00322B75">
        <w:rPr>
          <w:rFonts w:ascii="Arial" w:eastAsia="Calibri" w:hAnsi="Arial" w:cs="Arial"/>
          <w:i/>
          <w:color w:val="auto"/>
          <w:sz w:val="22"/>
          <w:szCs w:val="24"/>
        </w:rPr>
        <w:t xml:space="preserve"> and perhaps impossible task that may well result in differ</w:t>
      </w:r>
      <w:r w:rsidR="004A332A" w:rsidRPr="00322B75">
        <w:rPr>
          <w:rFonts w:ascii="Arial" w:eastAsia="Calibri" w:hAnsi="Arial" w:cs="Arial"/>
          <w:i/>
          <w:color w:val="auto"/>
          <w:sz w:val="22"/>
          <w:szCs w:val="24"/>
        </w:rPr>
        <w:t>ing</w:t>
      </w:r>
      <w:r w:rsidR="00F112D7" w:rsidRPr="00322B75">
        <w:rPr>
          <w:rFonts w:ascii="Arial" w:eastAsia="Calibri" w:hAnsi="Arial" w:cs="Arial"/>
          <w:i/>
          <w:color w:val="auto"/>
          <w:sz w:val="22"/>
          <w:szCs w:val="24"/>
        </w:rPr>
        <w:t xml:space="preserve"> conclusions </w:t>
      </w:r>
      <w:r w:rsidR="004A332A" w:rsidRPr="00322B75">
        <w:rPr>
          <w:rFonts w:ascii="Arial" w:eastAsia="Calibri" w:hAnsi="Arial" w:cs="Arial"/>
          <w:i/>
          <w:color w:val="auto"/>
          <w:sz w:val="22"/>
          <w:szCs w:val="24"/>
        </w:rPr>
        <w:t>and therefore uncertainty.</w:t>
      </w: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Recommendation</w:t>
      </w:r>
    </w:p>
    <w:p w:rsidR="00E44D9F" w:rsidRPr="00E44D9F" w:rsidRDefault="00E44D9F" w:rsidP="00E44D9F">
      <w:pPr>
        <w:autoSpaceDN w:val="0"/>
        <w:rPr>
          <w:rFonts w:ascii="Arial" w:eastAsia="Calibri" w:hAnsi="Arial" w:cs="Arial"/>
          <w:color w:val="auto"/>
          <w:sz w:val="22"/>
          <w:szCs w:val="24"/>
        </w:rPr>
      </w:pPr>
      <w:r w:rsidRPr="00E44D9F">
        <w:rPr>
          <w:rFonts w:ascii="Arial" w:eastAsia="Calibri" w:hAnsi="Arial" w:cs="Arial"/>
          <w:color w:val="auto"/>
          <w:sz w:val="22"/>
          <w:szCs w:val="24"/>
        </w:rPr>
        <w:t>Consider requiring the use of one or more specific screening tools.</w:t>
      </w:r>
    </w:p>
    <w:p w:rsidR="00E44D9F" w:rsidRPr="00E44D9F" w:rsidRDefault="00E44D9F" w:rsidP="00E44D9F">
      <w:pPr>
        <w:autoSpaceDN w:val="0"/>
        <w:rPr>
          <w:rFonts w:ascii="Arial" w:eastAsia="Calibri" w:hAnsi="Arial" w:cs="Arial"/>
          <w:b/>
          <w:color w:val="auto"/>
          <w:sz w:val="22"/>
          <w:szCs w:val="22"/>
        </w:rPr>
      </w:pPr>
    </w:p>
    <w:p w:rsidR="00E44D9F" w:rsidRPr="00E44D9F" w:rsidRDefault="00E44D9F" w:rsidP="00E44D9F">
      <w:pPr>
        <w:autoSpaceDN w:val="0"/>
        <w:rPr>
          <w:rFonts w:ascii="Arial" w:eastAsia="Calibri" w:hAnsi="Arial" w:cs="Arial"/>
          <w:b/>
          <w:color w:val="auto"/>
          <w:sz w:val="22"/>
          <w:szCs w:val="24"/>
        </w:rPr>
      </w:pPr>
      <w:r w:rsidRPr="00E44D9F">
        <w:rPr>
          <w:rFonts w:ascii="Arial" w:eastAsia="Calibri" w:hAnsi="Arial" w:cs="Arial"/>
          <w:b/>
          <w:color w:val="auto"/>
          <w:sz w:val="22"/>
          <w:szCs w:val="24"/>
        </w:rPr>
        <w:t>Discussion</w:t>
      </w:r>
    </w:p>
    <w:p w:rsidR="00E44D9F" w:rsidRPr="00322B75" w:rsidRDefault="00E44D9F" w:rsidP="00322B75">
      <w:pPr>
        <w:autoSpaceDN w:val="0"/>
        <w:ind w:left="360"/>
        <w:rPr>
          <w:rFonts w:ascii="Arial" w:eastAsia="Calibri" w:hAnsi="Arial" w:cs="Arial"/>
          <w:i/>
          <w:color w:val="auto"/>
          <w:sz w:val="22"/>
          <w:szCs w:val="24"/>
        </w:rPr>
      </w:pPr>
      <w:r w:rsidRPr="00322B75">
        <w:rPr>
          <w:rFonts w:ascii="Arial" w:eastAsia="Calibri" w:hAnsi="Arial" w:cs="Arial"/>
          <w:i/>
          <w:color w:val="auto"/>
          <w:sz w:val="22"/>
          <w:szCs w:val="24"/>
        </w:rPr>
        <w:t>Requiring the use of one or more specific screening tools will ensure a thorough screening and evaluation before prescribing opioids.</w:t>
      </w:r>
    </w:p>
    <w:p w:rsidR="00E44D9F" w:rsidRDefault="00E44D9F" w:rsidP="00E44D9F">
      <w:pPr>
        <w:autoSpaceDN w:val="0"/>
        <w:rPr>
          <w:rFonts w:ascii="Arial" w:eastAsia="Calibri" w:hAnsi="Arial" w:cs="Arial"/>
          <w:color w:val="auto"/>
          <w:sz w:val="22"/>
          <w:szCs w:val="24"/>
        </w:rPr>
      </w:pPr>
    </w:p>
    <w:p w:rsidR="009A0111" w:rsidRPr="00E44D9F" w:rsidRDefault="009A0111" w:rsidP="00E44D9F">
      <w:pPr>
        <w:autoSpaceDN w:val="0"/>
        <w:rPr>
          <w:rFonts w:ascii="Arial" w:eastAsia="Calibri" w:hAnsi="Arial" w:cs="Arial"/>
          <w:color w:val="auto"/>
          <w:sz w:val="22"/>
          <w:szCs w:val="24"/>
        </w:rPr>
      </w:pP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Thank you for considering these recommendations and comments.  Please contact me if additional clarification would be helpful.</w:t>
      </w:r>
    </w:p>
    <w:p w:rsidR="00BC0FB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Sincerely, </w:t>
      </w:r>
    </w:p>
    <w:p w:rsidR="00BC0FBE" w:rsidRDefault="00BC0FBE" w:rsidP="00BC0FBE">
      <w:pPr>
        <w:keepLines/>
        <w:tabs>
          <w:tab w:val="left" w:pos="900"/>
        </w:tabs>
        <w:rPr>
          <w:rFonts w:ascii="Arial" w:hAnsi="Arial" w:cs="Arial"/>
          <w:sz w:val="22"/>
          <w:szCs w:val="22"/>
        </w:rPr>
      </w:pPr>
    </w:p>
    <w:p w:rsidR="0034358F" w:rsidRPr="00DA1D1E" w:rsidRDefault="0034358F" w:rsidP="00BC0FBE">
      <w:pPr>
        <w:keepLines/>
        <w:tabs>
          <w:tab w:val="left" w:pos="900"/>
        </w:tabs>
        <w:rPr>
          <w:rFonts w:ascii="Arial" w:hAnsi="Arial" w:cs="Arial"/>
          <w:sz w:val="22"/>
          <w:szCs w:val="22"/>
        </w:rPr>
      </w:pPr>
    </w:p>
    <w:p w:rsidR="00730E59" w:rsidRDefault="00730E59" w:rsidP="006A39AE">
      <w:pPr>
        <w:pStyle w:val="MessageHeader"/>
        <w:tabs>
          <w:tab w:val="left" w:pos="900"/>
        </w:tabs>
        <w:spacing w:after="0" w:line="240" w:lineRule="auto"/>
        <w:ind w:left="0" w:firstLine="0"/>
        <w:rPr>
          <w:rFonts w:cs="Arial"/>
          <w:sz w:val="22"/>
          <w:szCs w:val="22"/>
        </w:rPr>
      </w:pPr>
    </w:p>
    <w:p w:rsidR="006A39AE" w:rsidRPr="00DA1D1E" w:rsidRDefault="00BC0FBE" w:rsidP="006A39AE">
      <w:pPr>
        <w:pStyle w:val="MessageHeader"/>
        <w:tabs>
          <w:tab w:val="left" w:pos="900"/>
        </w:tabs>
        <w:spacing w:after="0" w:line="240" w:lineRule="auto"/>
        <w:ind w:left="0" w:firstLine="0"/>
        <w:rPr>
          <w:rFonts w:cs="Arial"/>
          <w:spacing w:val="0"/>
          <w:sz w:val="22"/>
          <w:szCs w:val="22"/>
        </w:rPr>
      </w:pPr>
      <w:r w:rsidRPr="00DA1D1E">
        <w:rPr>
          <w:rFonts w:cs="Arial"/>
          <w:sz w:val="22"/>
          <w:szCs w:val="22"/>
        </w:rPr>
        <w:t>Brenda Ramirez</w:t>
      </w:r>
      <w:r w:rsidR="006A39AE">
        <w:rPr>
          <w:rFonts w:cs="Arial"/>
          <w:sz w:val="22"/>
          <w:szCs w:val="22"/>
        </w:rPr>
        <w:t xml:space="preserve">                              </w:t>
      </w:r>
    </w:p>
    <w:p w:rsidR="006A39AE" w:rsidRPr="00DA1D1E" w:rsidRDefault="006A39AE" w:rsidP="006A39AE">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Claims &amp; Medical Director           </w:t>
      </w:r>
    </w:p>
    <w:p w:rsidR="00BC0FBE" w:rsidRPr="00DA1D1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BR/pm</w:t>
      </w:r>
    </w:p>
    <w:p w:rsidR="00BC0FBE" w:rsidRPr="00DA1D1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cc:   Christine Baker, DIR Director</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Destie Overpeck, DWC Administrative Director</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Dr. </w:t>
      </w:r>
      <w:r w:rsidR="006A39AE">
        <w:rPr>
          <w:rFonts w:ascii="Arial" w:hAnsi="Arial" w:cs="Arial"/>
          <w:sz w:val="22"/>
          <w:szCs w:val="22"/>
        </w:rPr>
        <w:t xml:space="preserve">Rupali </w:t>
      </w:r>
      <w:r w:rsidRPr="00DA1D1E">
        <w:rPr>
          <w:rFonts w:ascii="Arial" w:hAnsi="Arial" w:cs="Arial"/>
          <w:sz w:val="22"/>
          <w:szCs w:val="22"/>
        </w:rPr>
        <w:t>Das, DWC Executive Medical Director</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John Cortes, DWC Attorney</w:t>
      </w:r>
    </w:p>
    <w:p w:rsidR="00BC0FB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Claims Committee</w:t>
      </w:r>
    </w:p>
    <w:p w:rsidR="006A39AE" w:rsidRPr="00DA1D1E" w:rsidRDefault="006A39AE" w:rsidP="00BC0FBE">
      <w:pPr>
        <w:keepLines/>
        <w:tabs>
          <w:tab w:val="left" w:pos="900"/>
        </w:tabs>
        <w:rPr>
          <w:rFonts w:ascii="Arial" w:hAnsi="Arial" w:cs="Arial"/>
          <w:sz w:val="22"/>
          <w:szCs w:val="22"/>
        </w:rPr>
      </w:pPr>
      <w:r>
        <w:rPr>
          <w:rFonts w:ascii="Arial" w:hAnsi="Arial" w:cs="Arial"/>
          <w:sz w:val="22"/>
          <w:szCs w:val="22"/>
        </w:rPr>
        <w:t xml:space="preserve">        CWCI Legal Committee </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Medical Care Committee</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Regular Members</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Associate Members</w:t>
      </w:r>
    </w:p>
    <w:p w:rsidR="00AB4B87" w:rsidRPr="00DA1D1E" w:rsidRDefault="00AB4B87" w:rsidP="0007766B">
      <w:pPr>
        <w:keepLines/>
        <w:tabs>
          <w:tab w:val="left" w:pos="900"/>
        </w:tabs>
        <w:rPr>
          <w:rFonts w:ascii="Arial" w:hAnsi="Arial" w:cs="Arial"/>
          <w:sz w:val="22"/>
          <w:szCs w:val="22"/>
        </w:rPr>
      </w:pPr>
    </w:p>
    <w:p w:rsidR="00DA1D1E" w:rsidRPr="00DA1D1E" w:rsidRDefault="00DA1D1E">
      <w:pPr>
        <w:keepLines/>
        <w:tabs>
          <w:tab w:val="left" w:pos="900"/>
        </w:tabs>
        <w:rPr>
          <w:rFonts w:ascii="Arial" w:hAnsi="Arial" w:cs="Arial"/>
          <w:sz w:val="22"/>
          <w:szCs w:val="22"/>
        </w:rPr>
      </w:pPr>
      <w:bookmarkStart w:id="0" w:name="_GoBack"/>
      <w:bookmarkEnd w:id="0"/>
    </w:p>
    <w:sectPr w:rsidR="00DA1D1E" w:rsidRPr="00DA1D1E" w:rsidSect="00B34544">
      <w:footerReference w:type="default" r:id="rId11"/>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AC" w:rsidRDefault="00E20EAC" w:rsidP="00935E52">
      <w:r>
        <w:separator/>
      </w:r>
    </w:p>
  </w:endnote>
  <w:endnote w:type="continuationSeparator" w:id="0">
    <w:p w:rsidR="00E20EAC" w:rsidRDefault="00E20EAC" w:rsidP="009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636885"/>
      <w:docPartObj>
        <w:docPartGallery w:val="Page Numbers (Bottom of Page)"/>
        <w:docPartUnique/>
      </w:docPartObj>
    </w:sdtPr>
    <w:sdtEndPr>
      <w:rPr>
        <w:noProof/>
      </w:rPr>
    </w:sdtEndPr>
    <w:sdtContent>
      <w:p w:rsidR="00E67CFE" w:rsidRDefault="00E67CFE">
        <w:pPr>
          <w:pStyle w:val="Footer"/>
          <w:jc w:val="right"/>
        </w:pPr>
        <w:r>
          <w:fldChar w:fldCharType="begin"/>
        </w:r>
        <w:r>
          <w:instrText xml:space="preserve"> PAGE   \* MERGEFORMAT </w:instrText>
        </w:r>
        <w:r>
          <w:fldChar w:fldCharType="separate"/>
        </w:r>
        <w:r w:rsidR="00262C69">
          <w:rPr>
            <w:noProof/>
          </w:rPr>
          <w:t>10</w:t>
        </w:r>
        <w:r>
          <w:rPr>
            <w:noProof/>
          </w:rPr>
          <w:fldChar w:fldCharType="end"/>
        </w:r>
      </w:p>
    </w:sdtContent>
  </w:sdt>
  <w:p w:rsidR="00E67CFE" w:rsidRDefault="00E67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AC" w:rsidRDefault="00E20EAC" w:rsidP="00935E52">
      <w:r>
        <w:separator/>
      </w:r>
    </w:p>
  </w:footnote>
  <w:footnote w:type="continuationSeparator" w:id="0">
    <w:p w:rsidR="00E20EAC" w:rsidRDefault="00E20EAC" w:rsidP="00935E52">
      <w:r>
        <w:continuationSeparator/>
      </w:r>
    </w:p>
  </w:footnote>
  <w:footnote w:id="1">
    <w:p w:rsidR="00E44D9F" w:rsidRDefault="00E44D9F" w:rsidP="001314A8">
      <w:pPr>
        <w:pStyle w:val="FootnoteText"/>
        <w:ind w:right="-180"/>
      </w:pPr>
      <w:r>
        <w:rPr>
          <w:rStyle w:val="FootnoteReference"/>
          <w:strike w:val="0"/>
        </w:rPr>
        <w:footnoteRef/>
      </w:r>
      <w:r>
        <w:rPr>
          <w:strike w:val="0"/>
        </w:rPr>
        <w:t xml:space="preserve"> Swedlow, A., Gardner, L., Ireland, J.  </w:t>
      </w:r>
      <w:r>
        <w:rPr>
          <w:bCs/>
          <w:strike w:val="0"/>
        </w:rPr>
        <w:t>Differences in Outcomes for Injured Workers Receiving Physician-Dispensed Repackaged Drugs in the California Workers’ Compensation System.  CWCI Research Brief, February 2013.</w:t>
      </w:r>
    </w:p>
  </w:footnote>
  <w:footnote w:id="2">
    <w:p w:rsidR="00E44D9F" w:rsidRDefault="00E44D9F" w:rsidP="00E44D9F">
      <w:pPr>
        <w:pStyle w:val="FootnoteText"/>
        <w:rPr>
          <w:strike w:val="0"/>
        </w:rPr>
      </w:pPr>
      <w:r>
        <w:rPr>
          <w:rStyle w:val="FootnoteReference"/>
          <w:strike w:val="0"/>
        </w:rPr>
        <w:footnoteRef/>
      </w:r>
      <w:r>
        <w:rPr>
          <w:strike w:val="0"/>
        </w:rPr>
        <w:t xml:space="preserve"> </w:t>
      </w:r>
      <w:proofErr w:type="spellStart"/>
      <w:proofErr w:type="gramStart"/>
      <w:r>
        <w:rPr>
          <w:strike w:val="0"/>
        </w:rPr>
        <w:t>Thumula</w:t>
      </w:r>
      <w:proofErr w:type="spellEnd"/>
      <w:r>
        <w:rPr>
          <w:strike w:val="0"/>
        </w:rPr>
        <w:t xml:space="preserve">, V. </w:t>
      </w:r>
      <w:r>
        <w:rPr>
          <w:iCs/>
          <w:strike w:val="0"/>
        </w:rPr>
        <w:t>Impact of Banning Physician Dispensing of Opioids in Florida</w:t>
      </w:r>
      <w:r>
        <w:rPr>
          <w:strike w:val="0"/>
        </w:rPr>
        <w:t>.</w:t>
      </w:r>
      <w:proofErr w:type="gramEnd"/>
      <w:r>
        <w:rPr>
          <w:strike w:val="0"/>
        </w:rPr>
        <w:t xml:space="preserve"> </w:t>
      </w:r>
      <w:r w:rsidR="002A1386">
        <w:rPr>
          <w:strike w:val="0"/>
        </w:rPr>
        <w:t xml:space="preserve">WCRI, </w:t>
      </w:r>
      <w:r>
        <w:rPr>
          <w:strike w:val="0"/>
        </w:rPr>
        <w:t>July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8D6"/>
    <w:multiLevelType w:val="hybridMultilevel"/>
    <w:tmpl w:val="E474F6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9BD1C4C"/>
    <w:multiLevelType w:val="hybridMultilevel"/>
    <w:tmpl w:val="78EA3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354869"/>
    <w:multiLevelType w:val="hybridMultilevel"/>
    <w:tmpl w:val="62A8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1F5405"/>
    <w:multiLevelType w:val="hybridMultilevel"/>
    <w:tmpl w:val="04C6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B57377B"/>
    <w:multiLevelType w:val="hybridMultilevel"/>
    <w:tmpl w:val="4C7E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CC"/>
    <w:rsid w:val="00000C47"/>
    <w:rsid w:val="000023E9"/>
    <w:rsid w:val="000036FD"/>
    <w:rsid w:val="00016BC1"/>
    <w:rsid w:val="00022C9B"/>
    <w:rsid w:val="00027C6B"/>
    <w:rsid w:val="00033CDE"/>
    <w:rsid w:val="00041B7A"/>
    <w:rsid w:val="00046C2E"/>
    <w:rsid w:val="0005141D"/>
    <w:rsid w:val="000530AF"/>
    <w:rsid w:val="0007766B"/>
    <w:rsid w:val="000857CB"/>
    <w:rsid w:val="00091894"/>
    <w:rsid w:val="00093573"/>
    <w:rsid w:val="000A4682"/>
    <w:rsid w:val="000B076E"/>
    <w:rsid w:val="000B438D"/>
    <w:rsid w:val="000C2C35"/>
    <w:rsid w:val="000C4106"/>
    <w:rsid w:val="000D4450"/>
    <w:rsid w:val="000D7025"/>
    <w:rsid w:val="000D7CD3"/>
    <w:rsid w:val="000E4555"/>
    <w:rsid w:val="000F06BE"/>
    <w:rsid w:val="00115233"/>
    <w:rsid w:val="00121A72"/>
    <w:rsid w:val="001251FF"/>
    <w:rsid w:val="001314A8"/>
    <w:rsid w:val="00141304"/>
    <w:rsid w:val="001443F5"/>
    <w:rsid w:val="001445D9"/>
    <w:rsid w:val="0014577D"/>
    <w:rsid w:val="00155E6A"/>
    <w:rsid w:val="00170889"/>
    <w:rsid w:val="001729FA"/>
    <w:rsid w:val="00177A67"/>
    <w:rsid w:val="001959B7"/>
    <w:rsid w:val="001B35B5"/>
    <w:rsid w:val="001B77A5"/>
    <w:rsid w:val="001C03FD"/>
    <w:rsid w:val="001C3E9D"/>
    <w:rsid w:val="001C7825"/>
    <w:rsid w:val="001D7FCE"/>
    <w:rsid w:val="001E04C3"/>
    <w:rsid w:val="001E5BA6"/>
    <w:rsid w:val="001F02CC"/>
    <w:rsid w:val="00205B1A"/>
    <w:rsid w:val="0020649C"/>
    <w:rsid w:val="00211750"/>
    <w:rsid w:val="00212963"/>
    <w:rsid w:val="00213F42"/>
    <w:rsid w:val="002171E0"/>
    <w:rsid w:val="00221789"/>
    <w:rsid w:val="0022181B"/>
    <w:rsid w:val="00227B6D"/>
    <w:rsid w:val="0025027E"/>
    <w:rsid w:val="00254761"/>
    <w:rsid w:val="002571AA"/>
    <w:rsid w:val="00262C69"/>
    <w:rsid w:val="00262CAF"/>
    <w:rsid w:val="00262D75"/>
    <w:rsid w:val="00264790"/>
    <w:rsid w:val="00270EE2"/>
    <w:rsid w:val="0028241B"/>
    <w:rsid w:val="00284520"/>
    <w:rsid w:val="00285094"/>
    <w:rsid w:val="002976A3"/>
    <w:rsid w:val="002A1386"/>
    <w:rsid w:val="002A6DE2"/>
    <w:rsid w:val="002B399E"/>
    <w:rsid w:val="002D0BD5"/>
    <w:rsid w:val="002D256D"/>
    <w:rsid w:val="002D5B0A"/>
    <w:rsid w:val="002E74D7"/>
    <w:rsid w:val="002E7A75"/>
    <w:rsid w:val="002F6CD6"/>
    <w:rsid w:val="00300EA7"/>
    <w:rsid w:val="00313094"/>
    <w:rsid w:val="00322B75"/>
    <w:rsid w:val="00323B88"/>
    <w:rsid w:val="00324640"/>
    <w:rsid w:val="003318DA"/>
    <w:rsid w:val="0034358F"/>
    <w:rsid w:val="00351143"/>
    <w:rsid w:val="003569EF"/>
    <w:rsid w:val="00361555"/>
    <w:rsid w:val="00362382"/>
    <w:rsid w:val="00363356"/>
    <w:rsid w:val="00373FB2"/>
    <w:rsid w:val="00375645"/>
    <w:rsid w:val="003810D6"/>
    <w:rsid w:val="00386EC6"/>
    <w:rsid w:val="00394B0E"/>
    <w:rsid w:val="003A3B7A"/>
    <w:rsid w:val="003A4945"/>
    <w:rsid w:val="003A75CF"/>
    <w:rsid w:val="003B0ADF"/>
    <w:rsid w:val="003C7DE5"/>
    <w:rsid w:val="003D5742"/>
    <w:rsid w:val="003E19DD"/>
    <w:rsid w:val="003E2936"/>
    <w:rsid w:val="003F7642"/>
    <w:rsid w:val="004024EC"/>
    <w:rsid w:val="00407F17"/>
    <w:rsid w:val="00412E1F"/>
    <w:rsid w:val="00416DF0"/>
    <w:rsid w:val="004258FC"/>
    <w:rsid w:val="00440799"/>
    <w:rsid w:val="00451B23"/>
    <w:rsid w:val="004577EE"/>
    <w:rsid w:val="004600C0"/>
    <w:rsid w:val="0046475D"/>
    <w:rsid w:val="00464C87"/>
    <w:rsid w:val="004677BD"/>
    <w:rsid w:val="00473464"/>
    <w:rsid w:val="00473A6B"/>
    <w:rsid w:val="004833EC"/>
    <w:rsid w:val="00484756"/>
    <w:rsid w:val="00490CF2"/>
    <w:rsid w:val="004912EC"/>
    <w:rsid w:val="004924DC"/>
    <w:rsid w:val="004A332A"/>
    <w:rsid w:val="004A4B23"/>
    <w:rsid w:val="004B13A8"/>
    <w:rsid w:val="004B3CAC"/>
    <w:rsid w:val="004C1955"/>
    <w:rsid w:val="004C411B"/>
    <w:rsid w:val="004C7740"/>
    <w:rsid w:val="004D6EDD"/>
    <w:rsid w:val="004E0A49"/>
    <w:rsid w:val="004E66FD"/>
    <w:rsid w:val="004F7426"/>
    <w:rsid w:val="0050175A"/>
    <w:rsid w:val="005036CD"/>
    <w:rsid w:val="00505022"/>
    <w:rsid w:val="00512EFA"/>
    <w:rsid w:val="00512F93"/>
    <w:rsid w:val="005177F0"/>
    <w:rsid w:val="00523508"/>
    <w:rsid w:val="00526E62"/>
    <w:rsid w:val="005343DE"/>
    <w:rsid w:val="00534EE2"/>
    <w:rsid w:val="00541AD5"/>
    <w:rsid w:val="00547CFB"/>
    <w:rsid w:val="005654A9"/>
    <w:rsid w:val="00570CA9"/>
    <w:rsid w:val="00572F11"/>
    <w:rsid w:val="0057350E"/>
    <w:rsid w:val="005750FD"/>
    <w:rsid w:val="00587531"/>
    <w:rsid w:val="00591E8E"/>
    <w:rsid w:val="00595690"/>
    <w:rsid w:val="005A3EC1"/>
    <w:rsid w:val="005C242B"/>
    <w:rsid w:val="005C64CB"/>
    <w:rsid w:val="005C6E5C"/>
    <w:rsid w:val="005C7E5A"/>
    <w:rsid w:val="005D3A21"/>
    <w:rsid w:val="005F6E39"/>
    <w:rsid w:val="0061114D"/>
    <w:rsid w:val="006149D7"/>
    <w:rsid w:val="00615FBE"/>
    <w:rsid w:val="00632E70"/>
    <w:rsid w:val="00634AD3"/>
    <w:rsid w:val="00642C4C"/>
    <w:rsid w:val="00643A0D"/>
    <w:rsid w:val="00645C1E"/>
    <w:rsid w:val="00655909"/>
    <w:rsid w:val="00661214"/>
    <w:rsid w:val="006773FE"/>
    <w:rsid w:val="0068569D"/>
    <w:rsid w:val="00687BF5"/>
    <w:rsid w:val="006904B4"/>
    <w:rsid w:val="006916E7"/>
    <w:rsid w:val="00692940"/>
    <w:rsid w:val="00697590"/>
    <w:rsid w:val="006A0253"/>
    <w:rsid w:val="006A0F16"/>
    <w:rsid w:val="006A2BE5"/>
    <w:rsid w:val="006A39AE"/>
    <w:rsid w:val="006C7120"/>
    <w:rsid w:val="006E646D"/>
    <w:rsid w:val="006F0DE0"/>
    <w:rsid w:val="00707B69"/>
    <w:rsid w:val="00710410"/>
    <w:rsid w:val="00713B42"/>
    <w:rsid w:val="00716447"/>
    <w:rsid w:val="0072205C"/>
    <w:rsid w:val="007220E7"/>
    <w:rsid w:val="007243FF"/>
    <w:rsid w:val="00724D0A"/>
    <w:rsid w:val="00730E59"/>
    <w:rsid w:val="00732C21"/>
    <w:rsid w:val="00734171"/>
    <w:rsid w:val="00747CF9"/>
    <w:rsid w:val="007500CC"/>
    <w:rsid w:val="007534E0"/>
    <w:rsid w:val="007629A5"/>
    <w:rsid w:val="0076495D"/>
    <w:rsid w:val="00765AC2"/>
    <w:rsid w:val="00772BCC"/>
    <w:rsid w:val="00775457"/>
    <w:rsid w:val="00780534"/>
    <w:rsid w:val="00781DB5"/>
    <w:rsid w:val="0078228C"/>
    <w:rsid w:val="00796532"/>
    <w:rsid w:val="007973E5"/>
    <w:rsid w:val="007A1C85"/>
    <w:rsid w:val="007A1FB4"/>
    <w:rsid w:val="007A2FBE"/>
    <w:rsid w:val="007A363B"/>
    <w:rsid w:val="007A3DB5"/>
    <w:rsid w:val="007B6012"/>
    <w:rsid w:val="007C5FA5"/>
    <w:rsid w:val="007C6FA6"/>
    <w:rsid w:val="007C77E5"/>
    <w:rsid w:val="007D0C05"/>
    <w:rsid w:val="007D4DC4"/>
    <w:rsid w:val="007E00E8"/>
    <w:rsid w:val="007E0D36"/>
    <w:rsid w:val="007F000B"/>
    <w:rsid w:val="00800551"/>
    <w:rsid w:val="0081249C"/>
    <w:rsid w:val="0081268E"/>
    <w:rsid w:val="00812EE8"/>
    <w:rsid w:val="00823122"/>
    <w:rsid w:val="008237D6"/>
    <w:rsid w:val="00840853"/>
    <w:rsid w:val="00841608"/>
    <w:rsid w:val="00842B9C"/>
    <w:rsid w:val="00847965"/>
    <w:rsid w:val="00847DC8"/>
    <w:rsid w:val="008510F7"/>
    <w:rsid w:val="00851EE6"/>
    <w:rsid w:val="00852EB0"/>
    <w:rsid w:val="00854842"/>
    <w:rsid w:val="0085754B"/>
    <w:rsid w:val="0086182F"/>
    <w:rsid w:val="00870B0B"/>
    <w:rsid w:val="008747E2"/>
    <w:rsid w:val="0087753E"/>
    <w:rsid w:val="00884F10"/>
    <w:rsid w:val="00887926"/>
    <w:rsid w:val="008920D6"/>
    <w:rsid w:val="00895BAE"/>
    <w:rsid w:val="008973AC"/>
    <w:rsid w:val="008A2D63"/>
    <w:rsid w:val="008A66DD"/>
    <w:rsid w:val="008B3081"/>
    <w:rsid w:val="008B7DB5"/>
    <w:rsid w:val="008C029B"/>
    <w:rsid w:val="008C0F40"/>
    <w:rsid w:val="008C5967"/>
    <w:rsid w:val="008C608F"/>
    <w:rsid w:val="008D7852"/>
    <w:rsid w:val="008D7D1E"/>
    <w:rsid w:val="008E4109"/>
    <w:rsid w:val="008E4369"/>
    <w:rsid w:val="008E4A3D"/>
    <w:rsid w:val="008E5D45"/>
    <w:rsid w:val="008F3F97"/>
    <w:rsid w:val="008F40EA"/>
    <w:rsid w:val="008F5DDE"/>
    <w:rsid w:val="00911416"/>
    <w:rsid w:val="00921FC3"/>
    <w:rsid w:val="00930FBF"/>
    <w:rsid w:val="0093469F"/>
    <w:rsid w:val="00935E52"/>
    <w:rsid w:val="00943772"/>
    <w:rsid w:val="00947178"/>
    <w:rsid w:val="00954D51"/>
    <w:rsid w:val="009621A2"/>
    <w:rsid w:val="0096396C"/>
    <w:rsid w:val="00971667"/>
    <w:rsid w:val="009829CF"/>
    <w:rsid w:val="00983A31"/>
    <w:rsid w:val="00996B67"/>
    <w:rsid w:val="009A0111"/>
    <w:rsid w:val="009A0B80"/>
    <w:rsid w:val="009A1879"/>
    <w:rsid w:val="009A2335"/>
    <w:rsid w:val="009A6789"/>
    <w:rsid w:val="009B180C"/>
    <w:rsid w:val="009B36F4"/>
    <w:rsid w:val="009B64EF"/>
    <w:rsid w:val="009B69CB"/>
    <w:rsid w:val="009B710D"/>
    <w:rsid w:val="009C12FA"/>
    <w:rsid w:val="009C75D7"/>
    <w:rsid w:val="009D5A57"/>
    <w:rsid w:val="009D70C4"/>
    <w:rsid w:val="009F395C"/>
    <w:rsid w:val="00A013B4"/>
    <w:rsid w:val="00A01671"/>
    <w:rsid w:val="00A02DD0"/>
    <w:rsid w:val="00A133CC"/>
    <w:rsid w:val="00A20D7D"/>
    <w:rsid w:val="00A25F28"/>
    <w:rsid w:val="00A27AE7"/>
    <w:rsid w:val="00A414AB"/>
    <w:rsid w:val="00A41D67"/>
    <w:rsid w:val="00A42F4A"/>
    <w:rsid w:val="00A442AA"/>
    <w:rsid w:val="00A64B70"/>
    <w:rsid w:val="00A65A1D"/>
    <w:rsid w:val="00A71634"/>
    <w:rsid w:val="00A764FA"/>
    <w:rsid w:val="00A978D4"/>
    <w:rsid w:val="00AA55E5"/>
    <w:rsid w:val="00AB3BC1"/>
    <w:rsid w:val="00AB4B87"/>
    <w:rsid w:val="00AC1335"/>
    <w:rsid w:val="00AC5206"/>
    <w:rsid w:val="00AD2464"/>
    <w:rsid w:val="00AD2EC6"/>
    <w:rsid w:val="00AF570F"/>
    <w:rsid w:val="00B001EE"/>
    <w:rsid w:val="00B16C01"/>
    <w:rsid w:val="00B2735B"/>
    <w:rsid w:val="00B338F7"/>
    <w:rsid w:val="00B34544"/>
    <w:rsid w:val="00B36CF6"/>
    <w:rsid w:val="00B37B3E"/>
    <w:rsid w:val="00B6448E"/>
    <w:rsid w:val="00B6526B"/>
    <w:rsid w:val="00B76671"/>
    <w:rsid w:val="00B84CE1"/>
    <w:rsid w:val="00B86322"/>
    <w:rsid w:val="00BA5B6E"/>
    <w:rsid w:val="00BA68AD"/>
    <w:rsid w:val="00BB0E2A"/>
    <w:rsid w:val="00BB76A9"/>
    <w:rsid w:val="00BC0FBE"/>
    <w:rsid w:val="00BC195E"/>
    <w:rsid w:val="00BC4B4B"/>
    <w:rsid w:val="00BC6044"/>
    <w:rsid w:val="00BD046F"/>
    <w:rsid w:val="00BD3881"/>
    <w:rsid w:val="00BE450C"/>
    <w:rsid w:val="00BE7000"/>
    <w:rsid w:val="00BF2FED"/>
    <w:rsid w:val="00BF44B9"/>
    <w:rsid w:val="00C0132B"/>
    <w:rsid w:val="00C05C9E"/>
    <w:rsid w:val="00C132FA"/>
    <w:rsid w:val="00C217A9"/>
    <w:rsid w:val="00C35A5E"/>
    <w:rsid w:val="00C364EF"/>
    <w:rsid w:val="00C46000"/>
    <w:rsid w:val="00C57A52"/>
    <w:rsid w:val="00C6265D"/>
    <w:rsid w:val="00C62A9C"/>
    <w:rsid w:val="00C67875"/>
    <w:rsid w:val="00C703CF"/>
    <w:rsid w:val="00C703D4"/>
    <w:rsid w:val="00C7205D"/>
    <w:rsid w:val="00C81577"/>
    <w:rsid w:val="00C8611F"/>
    <w:rsid w:val="00C86DFE"/>
    <w:rsid w:val="00C93B15"/>
    <w:rsid w:val="00C9540F"/>
    <w:rsid w:val="00CC002B"/>
    <w:rsid w:val="00CC61B5"/>
    <w:rsid w:val="00CC7856"/>
    <w:rsid w:val="00CD086E"/>
    <w:rsid w:val="00CE0E3B"/>
    <w:rsid w:val="00CE527C"/>
    <w:rsid w:val="00CE70D5"/>
    <w:rsid w:val="00CF71D1"/>
    <w:rsid w:val="00CF7899"/>
    <w:rsid w:val="00D231E5"/>
    <w:rsid w:val="00D23E9E"/>
    <w:rsid w:val="00D24FCD"/>
    <w:rsid w:val="00D2652F"/>
    <w:rsid w:val="00D26CEE"/>
    <w:rsid w:val="00D3362B"/>
    <w:rsid w:val="00D4259F"/>
    <w:rsid w:val="00D52390"/>
    <w:rsid w:val="00D53BC5"/>
    <w:rsid w:val="00D606F2"/>
    <w:rsid w:val="00D621DB"/>
    <w:rsid w:val="00D63307"/>
    <w:rsid w:val="00D64780"/>
    <w:rsid w:val="00D6721D"/>
    <w:rsid w:val="00D81E8C"/>
    <w:rsid w:val="00D85F2B"/>
    <w:rsid w:val="00D90CE6"/>
    <w:rsid w:val="00DA1D1E"/>
    <w:rsid w:val="00DA3A7D"/>
    <w:rsid w:val="00DA4C9D"/>
    <w:rsid w:val="00DA5CA6"/>
    <w:rsid w:val="00DA5E52"/>
    <w:rsid w:val="00DA6491"/>
    <w:rsid w:val="00DB6B7A"/>
    <w:rsid w:val="00DB72DC"/>
    <w:rsid w:val="00DC7AE7"/>
    <w:rsid w:val="00DD1A74"/>
    <w:rsid w:val="00DE04DC"/>
    <w:rsid w:val="00DE2768"/>
    <w:rsid w:val="00DE2AB3"/>
    <w:rsid w:val="00DE706E"/>
    <w:rsid w:val="00DF10B4"/>
    <w:rsid w:val="00DF1507"/>
    <w:rsid w:val="00DF4265"/>
    <w:rsid w:val="00DF4815"/>
    <w:rsid w:val="00DF5341"/>
    <w:rsid w:val="00E0131C"/>
    <w:rsid w:val="00E1583E"/>
    <w:rsid w:val="00E20EAC"/>
    <w:rsid w:val="00E234E3"/>
    <w:rsid w:val="00E31B1B"/>
    <w:rsid w:val="00E404F2"/>
    <w:rsid w:val="00E44D9F"/>
    <w:rsid w:val="00E45486"/>
    <w:rsid w:val="00E5502C"/>
    <w:rsid w:val="00E56A64"/>
    <w:rsid w:val="00E6526A"/>
    <w:rsid w:val="00E67CFE"/>
    <w:rsid w:val="00E73A28"/>
    <w:rsid w:val="00E80EEE"/>
    <w:rsid w:val="00E8117D"/>
    <w:rsid w:val="00E94D27"/>
    <w:rsid w:val="00EA4326"/>
    <w:rsid w:val="00EC4F3F"/>
    <w:rsid w:val="00EC58D4"/>
    <w:rsid w:val="00EC6E3E"/>
    <w:rsid w:val="00EE2707"/>
    <w:rsid w:val="00F03FB0"/>
    <w:rsid w:val="00F0722B"/>
    <w:rsid w:val="00F10B1A"/>
    <w:rsid w:val="00F112D7"/>
    <w:rsid w:val="00F26001"/>
    <w:rsid w:val="00F27703"/>
    <w:rsid w:val="00F327AF"/>
    <w:rsid w:val="00F33B67"/>
    <w:rsid w:val="00F40E67"/>
    <w:rsid w:val="00F41172"/>
    <w:rsid w:val="00F44494"/>
    <w:rsid w:val="00F4473C"/>
    <w:rsid w:val="00F46741"/>
    <w:rsid w:val="00F51335"/>
    <w:rsid w:val="00F55C58"/>
    <w:rsid w:val="00F57328"/>
    <w:rsid w:val="00F64CE2"/>
    <w:rsid w:val="00F676D6"/>
    <w:rsid w:val="00F70337"/>
    <w:rsid w:val="00F7301F"/>
    <w:rsid w:val="00F7524C"/>
    <w:rsid w:val="00F83791"/>
    <w:rsid w:val="00F9622B"/>
    <w:rsid w:val="00F971C2"/>
    <w:rsid w:val="00FA0E63"/>
    <w:rsid w:val="00FA363F"/>
    <w:rsid w:val="00FA68B8"/>
    <w:rsid w:val="00FB4D9A"/>
    <w:rsid w:val="00FD3004"/>
    <w:rsid w:val="00FF236B"/>
    <w:rsid w:val="00FF2A9C"/>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C6"/>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A133CC"/>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A133CC"/>
    <w:rPr>
      <w:rFonts w:eastAsia="Times New Roman" w:cs="Times New Roman"/>
      <w:color w:val="000000"/>
      <w:spacing w:val="-5"/>
      <w:szCs w:val="20"/>
    </w:rPr>
  </w:style>
  <w:style w:type="character" w:customStyle="1" w:styleId="MessageHeaderLabel">
    <w:name w:val="Message Header Label"/>
    <w:rsid w:val="00A133CC"/>
    <w:rPr>
      <w:rFonts w:ascii="Arial Black" w:hAnsi="Arial Black"/>
      <w:spacing w:val="-10"/>
      <w:sz w:val="18"/>
    </w:rPr>
  </w:style>
  <w:style w:type="character" w:styleId="Hyperlink">
    <w:name w:val="Hyperlink"/>
    <w:rsid w:val="00A133CC"/>
    <w:rPr>
      <w:color w:val="3754D4"/>
      <w:u w:val="single"/>
    </w:rPr>
  </w:style>
  <w:style w:type="paragraph" w:styleId="BodyText">
    <w:name w:val="Body Text"/>
    <w:basedOn w:val="Normal"/>
    <w:link w:val="BodyTextChar"/>
    <w:uiPriority w:val="99"/>
    <w:semiHidden/>
    <w:unhideWhenUsed/>
    <w:rsid w:val="00A133CC"/>
    <w:pPr>
      <w:spacing w:after="120"/>
    </w:pPr>
  </w:style>
  <w:style w:type="character" w:customStyle="1" w:styleId="BodyTextChar">
    <w:name w:val="Body Text Char"/>
    <w:basedOn w:val="DefaultParagraphFont"/>
    <w:link w:val="BodyText"/>
    <w:uiPriority w:val="99"/>
    <w:semiHidden/>
    <w:rsid w:val="00A133CC"/>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710410"/>
    <w:rPr>
      <w:rFonts w:ascii="Tahoma" w:hAnsi="Tahoma" w:cs="Tahoma"/>
      <w:sz w:val="16"/>
      <w:szCs w:val="16"/>
    </w:rPr>
  </w:style>
  <w:style w:type="character" w:customStyle="1" w:styleId="BalloonTextChar">
    <w:name w:val="Balloon Text Char"/>
    <w:basedOn w:val="DefaultParagraphFont"/>
    <w:link w:val="BalloonText"/>
    <w:uiPriority w:val="99"/>
    <w:semiHidden/>
    <w:rsid w:val="00710410"/>
    <w:rPr>
      <w:rFonts w:ascii="Tahoma" w:eastAsia="Times New Roman" w:hAnsi="Tahoma" w:cs="Tahoma"/>
      <w:color w:val="000000"/>
      <w:sz w:val="16"/>
      <w:szCs w:val="16"/>
    </w:rPr>
  </w:style>
  <w:style w:type="paragraph" w:styleId="ListParagraph">
    <w:name w:val="List Paragraph"/>
    <w:basedOn w:val="Normal"/>
    <w:uiPriority w:val="34"/>
    <w:qFormat/>
    <w:rsid w:val="009D70C4"/>
    <w:pPr>
      <w:ind w:left="720"/>
      <w:contextualSpacing/>
    </w:pPr>
  </w:style>
  <w:style w:type="paragraph" w:styleId="Header">
    <w:name w:val="header"/>
    <w:basedOn w:val="Normal"/>
    <w:link w:val="HeaderChar"/>
    <w:uiPriority w:val="99"/>
    <w:unhideWhenUsed/>
    <w:rsid w:val="00935E52"/>
    <w:pPr>
      <w:tabs>
        <w:tab w:val="center" w:pos="4680"/>
        <w:tab w:val="right" w:pos="9360"/>
      </w:tabs>
    </w:pPr>
  </w:style>
  <w:style w:type="character" w:customStyle="1" w:styleId="HeaderChar">
    <w:name w:val="Header Char"/>
    <w:basedOn w:val="DefaultParagraphFont"/>
    <w:link w:val="Header"/>
    <w:uiPriority w:val="99"/>
    <w:rsid w:val="00935E52"/>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935E52"/>
    <w:pPr>
      <w:tabs>
        <w:tab w:val="center" w:pos="4680"/>
        <w:tab w:val="right" w:pos="9360"/>
      </w:tabs>
    </w:pPr>
  </w:style>
  <w:style w:type="character" w:customStyle="1" w:styleId="FooterChar">
    <w:name w:val="Footer Char"/>
    <w:basedOn w:val="DefaultParagraphFont"/>
    <w:link w:val="Footer"/>
    <w:uiPriority w:val="99"/>
    <w:rsid w:val="00935E52"/>
    <w:rPr>
      <w:rFonts w:ascii="Times New Roman" w:eastAsia="Times New Roman" w:hAnsi="Times New Roman" w:cs="Times New Roman"/>
      <w:color w:val="000000"/>
      <w:szCs w:val="20"/>
    </w:rPr>
  </w:style>
  <w:style w:type="paragraph" w:styleId="FootnoteText">
    <w:name w:val="footnote text"/>
    <w:basedOn w:val="Normal"/>
    <w:link w:val="FootnoteTextChar"/>
    <w:semiHidden/>
    <w:unhideWhenUsed/>
    <w:rsid w:val="00E44D9F"/>
    <w:pPr>
      <w:autoSpaceDE w:val="0"/>
      <w:autoSpaceDN w:val="0"/>
    </w:pPr>
    <w:rPr>
      <w:strike/>
      <w:color w:val="auto"/>
      <w:sz w:val="20"/>
    </w:rPr>
  </w:style>
  <w:style w:type="character" w:customStyle="1" w:styleId="FootnoteTextChar">
    <w:name w:val="Footnote Text Char"/>
    <w:basedOn w:val="DefaultParagraphFont"/>
    <w:link w:val="FootnoteText"/>
    <w:semiHidden/>
    <w:rsid w:val="00E44D9F"/>
    <w:rPr>
      <w:rFonts w:ascii="Times New Roman" w:eastAsia="Times New Roman" w:hAnsi="Times New Roman" w:cs="Times New Roman"/>
      <w:strike/>
      <w:sz w:val="20"/>
      <w:szCs w:val="20"/>
    </w:rPr>
  </w:style>
  <w:style w:type="character" w:styleId="FootnoteReference">
    <w:name w:val="footnote reference"/>
    <w:basedOn w:val="DefaultParagraphFont"/>
    <w:semiHidden/>
    <w:unhideWhenUsed/>
    <w:rsid w:val="00E44D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C6"/>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A133CC"/>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A133CC"/>
    <w:rPr>
      <w:rFonts w:eastAsia="Times New Roman" w:cs="Times New Roman"/>
      <w:color w:val="000000"/>
      <w:spacing w:val="-5"/>
      <w:szCs w:val="20"/>
    </w:rPr>
  </w:style>
  <w:style w:type="character" w:customStyle="1" w:styleId="MessageHeaderLabel">
    <w:name w:val="Message Header Label"/>
    <w:rsid w:val="00A133CC"/>
    <w:rPr>
      <w:rFonts w:ascii="Arial Black" w:hAnsi="Arial Black"/>
      <w:spacing w:val="-10"/>
      <w:sz w:val="18"/>
    </w:rPr>
  </w:style>
  <w:style w:type="character" w:styleId="Hyperlink">
    <w:name w:val="Hyperlink"/>
    <w:rsid w:val="00A133CC"/>
    <w:rPr>
      <w:color w:val="3754D4"/>
      <w:u w:val="single"/>
    </w:rPr>
  </w:style>
  <w:style w:type="paragraph" w:styleId="BodyText">
    <w:name w:val="Body Text"/>
    <w:basedOn w:val="Normal"/>
    <w:link w:val="BodyTextChar"/>
    <w:uiPriority w:val="99"/>
    <w:semiHidden/>
    <w:unhideWhenUsed/>
    <w:rsid w:val="00A133CC"/>
    <w:pPr>
      <w:spacing w:after="120"/>
    </w:pPr>
  </w:style>
  <w:style w:type="character" w:customStyle="1" w:styleId="BodyTextChar">
    <w:name w:val="Body Text Char"/>
    <w:basedOn w:val="DefaultParagraphFont"/>
    <w:link w:val="BodyText"/>
    <w:uiPriority w:val="99"/>
    <w:semiHidden/>
    <w:rsid w:val="00A133CC"/>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710410"/>
    <w:rPr>
      <w:rFonts w:ascii="Tahoma" w:hAnsi="Tahoma" w:cs="Tahoma"/>
      <w:sz w:val="16"/>
      <w:szCs w:val="16"/>
    </w:rPr>
  </w:style>
  <w:style w:type="character" w:customStyle="1" w:styleId="BalloonTextChar">
    <w:name w:val="Balloon Text Char"/>
    <w:basedOn w:val="DefaultParagraphFont"/>
    <w:link w:val="BalloonText"/>
    <w:uiPriority w:val="99"/>
    <w:semiHidden/>
    <w:rsid w:val="00710410"/>
    <w:rPr>
      <w:rFonts w:ascii="Tahoma" w:eastAsia="Times New Roman" w:hAnsi="Tahoma" w:cs="Tahoma"/>
      <w:color w:val="000000"/>
      <w:sz w:val="16"/>
      <w:szCs w:val="16"/>
    </w:rPr>
  </w:style>
  <w:style w:type="paragraph" w:styleId="ListParagraph">
    <w:name w:val="List Paragraph"/>
    <w:basedOn w:val="Normal"/>
    <w:uiPriority w:val="34"/>
    <w:qFormat/>
    <w:rsid w:val="009D70C4"/>
    <w:pPr>
      <w:ind w:left="720"/>
      <w:contextualSpacing/>
    </w:pPr>
  </w:style>
  <w:style w:type="paragraph" w:styleId="Header">
    <w:name w:val="header"/>
    <w:basedOn w:val="Normal"/>
    <w:link w:val="HeaderChar"/>
    <w:uiPriority w:val="99"/>
    <w:unhideWhenUsed/>
    <w:rsid w:val="00935E52"/>
    <w:pPr>
      <w:tabs>
        <w:tab w:val="center" w:pos="4680"/>
        <w:tab w:val="right" w:pos="9360"/>
      </w:tabs>
    </w:pPr>
  </w:style>
  <w:style w:type="character" w:customStyle="1" w:styleId="HeaderChar">
    <w:name w:val="Header Char"/>
    <w:basedOn w:val="DefaultParagraphFont"/>
    <w:link w:val="Header"/>
    <w:uiPriority w:val="99"/>
    <w:rsid w:val="00935E52"/>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935E52"/>
    <w:pPr>
      <w:tabs>
        <w:tab w:val="center" w:pos="4680"/>
        <w:tab w:val="right" w:pos="9360"/>
      </w:tabs>
    </w:pPr>
  </w:style>
  <w:style w:type="character" w:customStyle="1" w:styleId="FooterChar">
    <w:name w:val="Footer Char"/>
    <w:basedOn w:val="DefaultParagraphFont"/>
    <w:link w:val="Footer"/>
    <w:uiPriority w:val="99"/>
    <w:rsid w:val="00935E52"/>
    <w:rPr>
      <w:rFonts w:ascii="Times New Roman" w:eastAsia="Times New Roman" w:hAnsi="Times New Roman" w:cs="Times New Roman"/>
      <w:color w:val="000000"/>
      <w:szCs w:val="20"/>
    </w:rPr>
  </w:style>
  <w:style w:type="paragraph" w:styleId="FootnoteText">
    <w:name w:val="footnote text"/>
    <w:basedOn w:val="Normal"/>
    <w:link w:val="FootnoteTextChar"/>
    <w:semiHidden/>
    <w:unhideWhenUsed/>
    <w:rsid w:val="00E44D9F"/>
    <w:pPr>
      <w:autoSpaceDE w:val="0"/>
      <w:autoSpaceDN w:val="0"/>
    </w:pPr>
    <w:rPr>
      <w:strike/>
      <w:color w:val="auto"/>
      <w:sz w:val="20"/>
    </w:rPr>
  </w:style>
  <w:style w:type="character" w:customStyle="1" w:styleId="FootnoteTextChar">
    <w:name w:val="Footnote Text Char"/>
    <w:basedOn w:val="DefaultParagraphFont"/>
    <w:link w:val="FootnoteText"/>
    <w:semiHidden/>
    <w:rsid w:val="00E44D9F"/>
    <w:rPr>
      <w:rFonts w:ascii="Times New Roman" w:eastAsia="Times New Roman" w:hAnsi="Times New Roman" w:cs="Times New Roman"/>
      <w:strike/>
      <w:sz w:val="20"/>
      <w:szCs w:val="20"/>
    </w:rPr>
  </w:style>
  <w:style w:type="character" w:styleId="FootnoteReference">
    <w:name w:val="footnote reference"/>
    <w:basedOn w:val="DefaultParagraphFont"/>
    <w:semiHidden/>
    <w:unhideWhenUsed/>
    <w:rsid w:val="00E44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1860">
      <w:bodyDiv w:val="1"/>
      <w:marLeft w:val="0"/>
      <w:marRight w:val="0"/>
      <w:marTop w:val="0"/>
      <w:marBottom w:val="0"/>
      <w:divBdr>
        <w:top w:val="none" w:sz="0" w:space="0" w:color="auto"/>
        <w:left w:val="none" w:sz="0" w:space="0" w:color="auto"/>
        <w:bottom w:val="none" w:sz="0" w:space="0" w:color="auto"/>
        <w:right w:val="none" w:sz="0" w:space="0" w:color="auto"/>
      </w:divBdr>
    </w:div>
    <w:div w:id="4307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0B70-B445-4955-9382-B30C3F48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3</cp:revision>
  <cp:lastPrinted>2015-09-01T23:53:00Z</cp:lastPrinted>
  <dcterms:created xsi:type="dcterms:W3CDTF">2015-09-01T23:53:00Z</dcterms:created>
  <dcterms:modified xsi:type="dcterms:W3CDTF">2015-09-01T23:55:00Z</dcterms:modified>
</cp:coreProperties>
</file>