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07A" w:rsidRPr="00F07E8D" w:rsidRDefault="0002207A" w:rsidP="00AC24A1">
      <w:pPr>
        <w:pStyle w:val="MessageHeader"/>
        <w:spacing w:after="0" w:line="240" w:lineRule="auto"/>
        <w:ind w:left="0" w:firstLine="0"/>
        <w:jc w:val="center"/>
        <w:rPr>
          <w:rFonts w:cs="Arial"/>
          <w:color w:val="auto"/>
          <w:szCs w:val="24"/>
        </w:rPr>
      </w:pPr>
      <w:bookmarkStart w:id="0" w:name="_GoBack"/>
      <w:bookmarkEnd w:id="0"/>
      <w:r w:rsidRPr="00F07E8D">
        <w:rPr>
          <w:rFonts w:cs="Arial"/>
          <w:noProof/>
          <w:color w:val="auto"/>
          <w:szCs w:val="24"/>
        </w:rPr>
        <w:drawing>
          <wp:inline distT="0" distB="0" distL="0" distR="0" wp14:anchorId="6A4C6C62" wp14:editId="10E6D1BB">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02207A" w:rsidRPr="00F07E8D" w:rsidRDefault="0002207A" w:rsidP="00AC24A1">
      <w:pPr>
        <w:pStyle w:val="MessageHeader"/>
        <w:spacing w:after="0" w:line="240" w:lineRule="auto"/>
        <w:jc w:val="center"/>
        <w:rPr>
          <w:rFonts w:cs="Arial"/>
          <w:color w:val="auto"/>
          <w:spacing w:val="0"/>
          <w:position w:val="-12"/>
          <w:szCs w:val="24"/>
        </w:rPr>
      </w:pPr>
      <w:r w:rsidRPr="00F07E8D">
        <w:rPr>
          <w:rFonts w:cs="Arial"/>
          <w:color w:val="auto"/>
          <w:spacing w:val="12"/>
          <w:position w:val="-12"/>
          <w:szCs w:val="24"/>
        </w:rPr>
        <w:t>California Workers’ Compensation Institute</w:t>
      </w:r>
    </w:p>
    <w:p w:rsidR="0002207A" w:rsidRPr="00287C33" w:rsidRDefault="0002207A" w:rsidP="00AC24A1">
      <w:pPr>
        <w:spacing w:line="240" w:lineRule="auto"/>
        <w:jc w:val="center"/>
        <w:rPr>
          <w:rFonts w:ascii="Arial" w:hAnsi="Arial" w:cs="Arial"/>
          <w:sz w:val="20"/>
          <w:szCs w:val="20"/>
        </w:rPr>
      </w:pPr>
      <w:r w:rsidRPr="00287C33">
        <w:rPr>
          <w:rFonts w:ascii="Arial" w:hAnsi="Arial" w:cs="Arial"/>
          <w:sz w:val="20"/>
          <w:szCs w:val="20"/>
        </w:rPr>
        <w:t>1</w:t>
      </w:r>
      <w:r w:rsidR="00287C33" w:rsidRPr="00287C33">
        <w:rPr>
          <w:rFonts w:ascii="Arial" w:hAnsi="Arial" w:cs="Arial"/>
          <w:sz w:val="20"/>
          <w:szCs w:val="20"/>
        </w:rPr>
        <w:t xml:space="preserve">333 </w:t>
      </w:r>
      <w:r w:rsidRPr="00287C33">
        <w:rPr>
          <w:rFonts w:ascii="Arial" w:hAnsi="Arial" w:cs="Arial"/>
          <w:sz w:val="20"/>
          <w:szCs w:val="20"/>
        </w:rPr>
        <w:t>Broadway</w:t>
      </w:r>
      <w:r w:rsidR="00287C33" w:rsidRPr="00287C33">
        <w:rPr>
          <w:rFonts w:ascii="Arial" w:hAnsi="Arial" w:cs="Arial"/>
          <w:sz w:val="20"/>
          <w:szCs w:val="20"/>
        </w:rPr>
        <w:t>, Suite 510</w:t>
      </w:r>
      <w:r w:rsidRPr="00287C33">
        <w:rPr>
          <w:rFonts w:ascii="Arial" w:hAnsi="Arial" w:cs="Arial"/>
          <w:sz w:val="20"/>
          <w:szCs w:val="20"/>
        </w:rPr>
        <w:t>, Oakland, CA 946</w:t>
      </w:r>
      <w:r w:rsidR="00287C33" w:rsidRPr="00287C33">
        <w:rPr>
          <w:rFonts w:ascii="Arial" w:hAnsi="Arial" w:cs="Arial"/>
          <w:sz w:val="20"/>
          <w:szCs w:val="20"/>
        </w:rPr>
        <w:t>12</w:t>
      </w:r>
      <w:r w:rsidRPr="00287C33">
        <w:rPr>
          <w:rFonts w:ascii="Arial" w:hAnsi="Arial" w:cs="Arial"/>
          <w:sz w:val="20"/>
          <w:szCs w:val="20"/>
        </w:rPr>
        <w:t xml:space="preserve"> • Tel: (510) 251-9470 • Fax: (510) 763-1592</w:t>
      </w:r>
    </w:p>
    <w:p w:rsidR="005C7E79" w:rsidRDefault="005C7E79" w:rsidP="00AC24A1">
      <w:pPr>
        <w:pStyle w:val="MessageHeader"/>
        <w:spacing w:after="0" w:line="240" w:lineRule="auto"/>
        <w:ind w:left="0" w:firstLine="0"/>
        <w:jc w:val="center"/>
        <w:rPr>
          <w:rFonts w:cs="Arial"/>
          <w:color w:val="auto"/>
          <w:spacing w:val="0"/>
          <w:sz w:val="20"/>
        </w:rPr>
      </w:pPr>
    </w:p>
    <w:p w:rsidR="00A64878" w:rsidRPr="00287C33" w:rsidRDefault="00A64878" w:rsidP="00AC24A1">
      <w:pPr>
        <w:pStyle w:val="MessageHeader"/>
        <w:spacing w:after="0" w:line="240" w:lineRule="auto"/>
        <w:ind w:left="0" w:firstLine="0"/>
        <w:jc w:val="center"/>
        <w:rPr>
          <w:rFonts w:cs="Arial"/>
          <w:color w:val="auto"/>
          <w:spacing w:val="0"/>
          <w:sz w:val="20"/>
        </w:rPr>
      </w:pPr>
    </w:p>
    <w:p w:rsidR="0002207A" w:rsidRPr="00334086" w:rsidRDefault="0002207A" w:rsidP="00AC24A1">
      <w:pPr>
        <w:pStyle w:val="MessageHeader"/>
        <w:spacing w:after="0" w:line="240" w:lineRule="auto"/>
        <w:jc w:val="both"/>
        <w:rPr>
          <w:rStyle w:val="Hyperlink"/>
          <w:rFonts w:cs="Arial"/>
          <w:color w:val="auto"/>
          <w:sz w:val="22"/>
          <w:szCs w:val="24"/>
        </w:rPr>
      </w:pPr>
      <w:r w:rsidRPr="00334086">
        <w:rPr>
          <w:rStyle w:val="MessageHeaderLabel"/>
          <w:rFonts w:ascii="Arial" w:hAnsi="Arial" w:cs="Arial"/>
          <w:color w:val="auto"/>
          <w:spacing w:val="0"/>
          <w:sz w:val="22"/>
          <w:szCs w:val="24"/>
          <w:u w:val="single"/>
        </w:rPr>
        <w:t>VIA E-MAIL</w:t>
      </w:r>
      <w:r w:rsidR="00FE6243" w:rsidRPr="00334086">
        <w:rPr>
          <w:rStyle w:val="MessageHeaderLabel"/>
          <w:rFonts w:ascii="Arial" w:hAnsi="Arial" w:cs="Arial"/>
          <w:color w:val="auto"/>
          <w:spacing w:val="0"/>
          <w:sz w:val="22"/>
          <w:szCs w:val="24"/>
          <w:u w:val="single"/>
        </w:rPr>
        <w:t xml:space="preserve">: </w:t>
      </w:r>
      <w:hyperlink r:id="rId9" w:history="1">
        <w:r w:rsidRPr="00334086">
          <w:rPr>
            <w:rStyle w:val="Hyperlink"/>
            <w:rFonts w:cs="Arial"/>
            <w:color w:val="auto"/>
            <w:sz w:val="22"/>
            <w:szCs w:val="24"/>
          </w:rPr>
          <w:t>dwcrules@dir.ca.gov</w:t>
        </w:r>
      </w:hyperlink>
    </w:p>
    <w:p w:rsidR="0002207A" w:rsidRPr="00334086" w:rsidRDefault="0002207A" w:rsidP="00AC24A1">
      <w:pPr>
        <w:pStyle w:val="MessageHeader"/>
        <w:spacing w:after="0" w:line="240" w:lineRule="auto"/>
        <w:ind w:left="0" w:firstLine="0"/>
        <w:jc w:val="both"/>
        <w:rPr>
          <w:rFonts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DD511D" w:rsidP="00AC24A1">
      <w:pPr>
        <w:pStyle w:val="MessageHeader"/>
        <w:spacing w:after="0" w:line="240" w:lineRule="auto"/>
        <w:rPr>
          <w:rStyle w:val="MessageHeaderLabel"/>
          <w:rFonts w:ascii="Arial" w:hAnsi="Arial" w:cs="Arial"/>
          <w:color w:val="auto"/>
          <w:spacing w:val="0"/>
          <w:sz w:val="22"/>
          <w:szCs w:val="24"/>
        </w:rPr>
      </w:pPr>
      <w:r>
        <w:rPr>
          <w:rStyle w:val="MessageHeaderLabel"/>
          <w:rFonts w:ascii="Arial" w:hAnsi="Arial" w:cs="Arial"/>
          <w:color w:val="auto"/>
          <w:spacing w:val="0"/>
          <w:sz w:val="22"/>
          <w:szCs w:val="24"/>
        </w:rPr>
        <w:t>June 8, 2016</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Maureen Gray, Regulations Coordinator</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Department of Industrial Relations</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Division of Workers’ Compensation, Legal Unit</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 xml:space="preserve">Post Office Box 420603 </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San Francisco, CA  94142</w:t>
      </w:r>
      <w:r w:rsidR="006C0258" w:rsidRPr="00334086">
        <w:rPr>
          <w:rStyle w:val="MessageHeaderLabel"/>
          <w:rFonts w:ascii="Arial" w:hAnsi="Arial" w:cs="Arial"/>
          <w:color w:val="auto"/>
          <w:spacing w:val="0"/>
          <w:sz w:val="22"/>
          <w:szCs w:val="24"/>
        </w:rPr>
        <w:t xml:space="preserve"> </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C86CB5" w:rsidRDefault="0002207A" w:rsidP="006E68A7">
      <w:pPr>
        <w:autoSpaceDE w:val="0"/>
        <w:autoSpaceDN w:val="0"/>
        <w:adjustRightInd w:val="0"/>
        <w:spacing w:after="0" w:line="240" w:lineRule="auto"/>
        <w:rPr>
          <w:rStyle w:val="MessageHeaderLabel"/>
          <w:rFonts w:ascii="Arial" w:hAnsi="Arial" w:cs="Arial"/>
          <w:b/>
          <w:spacing w:val="0"/>
          <w:sz w:val="22"/>
          <w:szCs w:val="24"/>
        </w:rPr>
      </w:pPr>
      <w:r w:rsidRPr="00334086">
        <w:rPr>
          <w:rStyle w:val="MessageHeaderLabel"/>
          <w:rFonts w:ascii="Arial" w:hAnsi="Arial" w:cs="Arial"/>
          <w:b/>
          <w:spacing w:val="0"/>
          <w:sz w:val="22"/>
          <w:szCs w:val="24"/>
        </w:rPr>
        <w:t>R</w:t>
      </w:r>
      <w:r w:rsidR="00675072" w:rsidRPr="00334086">
        <w:rPr>
          <w:rStyle w:val="MessageHeaderLabel"/>
          <w:rFonts w:ascii="Arial" w:hAnsi="Arial" w:cs="Arial"/>
          <w:b/>
          <w:spacing w:val="0"/>
          <w:sz w:val="22"/>
          <w:szCs w:val="24"/>
        </w:rPr>
        <w:t>e</w:t>
      </w:r>
      <w:r w:rsidRPr="00334086">
        <w:rPr>
          <w:rStyle w:val="MessageHeaderLabel"/>
          <w:rFonts w:ascii="Arial" w:hAnsi="Arial" w:cs="Arial"/>
          <w:b/>
          <w:spacing w:val="0"/>
          <w:sz w:val="22"/>
          <w:szCs w:val="24"/>
        </w:rPr>
        <w:t xml:space="preserve">:  </w:t>
      </w:r>
      <w:r w:rsidR="00DD511D">
        <w:rPr>
          <w:rStyle w:val="MessageHeaderLabel"/>
          <w:rFonts w:ascii="Arial" w:hAnsi="Arial" w:cs="Arial"/>
          <w:b/>
          <w:spacing w:val="0"/>
          <w:sz w:val="22"/>
          <w:szCs w:val="24"/>
        </w:rPr>
        <w:t>1</w:t>
      </w:r>
      <w:r w:rsidR="00DD511D" w:rsidRPr="00DD511D">
        <w:rPr>
          <w:rStyle w:val="MessageHeaderLabel"/>
          <w:rFonts w:ascii="Arial" w:hAnsi="Arial" w:cs="Arial"/>
          <w:b/>
          <w:spacing w:val="0"/>
          <w:sz w:val="22"/>
          <w:szCs w:val="24"/>
          <w:vertAlign w:val="superscript"/>
        </w:rPr>
        <w:t>st</w:t>
      </w:r>
      <w:r w:rsidR="00DD511D">
        <w:rPr>
          <w:rStyle w:val="MessageHeaderLabel"/>
          <w:rFonts w:ascii="Arial" w:hAnsi="Arial" w:cs="Arial"/>
          <w:b/>
          <w:spacing w:val="0"/>
          <w:sz w:val="22"/>
          <w:szCs w:val="24"/>
        </w:rPr>
        <w:t xml:space="preserve"> 15-Day Comment </w:t>
      </w:r>
      <w:r w:rsidR="00D71D9E">
        <w:rPr>
          <w:rStyle w:val="MessageHeaderLabel"/>
          <w:rFonts w:ascii="Arial" w:hAnsi="Arial" w:cs="Arial"/>
          <w:b/>
          <w:spacing w:val="0"/>
          <w:sz w:val="22"/>
          <w:szCs w:val="24"/>
        </w:rPr>
        <w:t xml:space="preserve">- </w:t>
      </w:r>
      <w:r w:rsidR="00D71D9E" w:rsidRPr="00334086">
        <w:rPr>
          <w:rStyle w:val="MessageHeaderLabel"/>
          <w:rFonts w:ascii="Arial" w:hAnsi="Arial" w:cs="Arial"/>
          <w:b/>
          <w:spacing w:val="0"/>
          <w:sz w:val="22"/>
          <w:szCs w:val="24"/>
        </w:rPr>
        <w:t>Proposed</w:t>
      </w:r>
      <w:r w:rsidR="006E68A7" w:rsidRPr="00334086">
        <w:rPr>
          <w:rStyle w:val="MessageHeaderLabel"/>
          <w:rFonts w:ascii="Arial" w:hAnsi="Arial" w:cs="Arial"/>
          <w:b/>
          <w:spacing w:val="0"/>
          <w:sz w:val="22"/>
          <w:szCs w:val="24"/>
        </w:rPr>
        <w:t xml:space="preserve"> Home Health Care Services Fee Schedule</w:t>
      </w:r>
      <w:r w:rsidR="00814C57" w:rsidRPr="00334086">
        <w:rPr>
          <w:rStyle w:val="MessageHeaderLabel"/>
          <w:rFonts w:ascii="Arial" w:hAnsi="Arial" w:cs="Arial"/>
          <w:b/>
          <w:spacing w:val="0"/>
          <w:sz w:val="22"/>
          <w:szCs w:val="24"/>
        </w:rPr>
        <w:t xml:space="preserve"> </w:t>
      </w:r>
    </w:p>
    <w:p w:rsidR="0002207A" w:rsidRPr="00334086" w:rsidRDefault="00C86CB5" w:rsidP="006E68A7">
      <w:pPr>
        <w:autoSpaceDE w:val="0"/>
        <w:autoSpaceDN w:val="0"/>
        <w:adjustRightInd w:val="0"/>
        <w:spacing w:after="0" w:line="240" w:lineRule="auto"/>
        <w:rPr>
          <w:rFonts w:ascii="Arial" w:hAnsi="Arial" w:cs="Arial"/>
          <w:b/>
          <w:szCs w:val="24"/>
        </w:rPr>
      </w:pPr>
      <w:r>
        <w:rPr>
          <w:rStyle w:val="MessageHeaderLabel"/>
          <w:rFonts w:ascii="Arial" w:hAnsi="Arial" w:cs="Arial"/>
          <w:b/>
          <w:spacing w:val="0"/>
          <w:sz w:val="22"/>
          <w:szCs w:val="24"/>
        </w:rPr>
        <w:t xml:space="preserve">        </w:t>
      </w:r>
      <w:r w:rsidR="00814C57" w:rsidRPr="00334086">
        <w:rPr>
          <w:rStyle w:val="MessageHeaderLabel"/>
          <w:rFonts w:ascii="Arial" w:hAnsi="Arial" w:cs="Arial"/>
          <w:b/>
          <w:spacing w:val="0"/>
          <w:sz w:val="22"/>
          <w:szCs w:val="24"/>
        </w:rPr>
        <w:t>Regulations</w:t>
      </w:r>
    </w:p>
    <w:p w:rsidR="005B67B1" w:rsidRPr="00334086" w:rsidRDefault="005B67B1" w:rsidP="00AC24A1">
      <w:pPr>
        <w:spacing w:line="240" w:lineRule="auto"/>
        <w:rPr>
          <w:rFonts w:ascii="Arial" w:hAnsi="Arial" w:cs="Arial"/>
          <w:szCs w:val="24"/>
        </w:rPr>
      </w:pPr>
    </w:p>
    <w:p w:rsidR="0002207A" w:rsidRPr="00334086" w:rsidRDefault="0002207A" w:rsidP="00AC24A1">
      <w:pPr>
        <w:spacing w:line="240" w:lineRule="auto"/>
        <w:rPr>
          <w:rFonts w:ascii="Arial" w:hAnsi="Arial" w:cs="Arial"/>
          <w:szCs w:val="24"/>
        </w:rPr>
      </w:pPr>
      <w:r w:rsidRPr="00334086">
        <w:rPr>
          <w:rFonts w:ascii="Arial" w:hAnsi="Arial" w:cs="Arial"/>
          <w:szCs w:val="24"/>
        </w:rPr>
        <w:t>Dear Ms. Gray:</w:t>
      </w:r>
    </w:p>
    <w:p w:rsidR="0002207A" w:rsidRPr="00334086" w:rsidRDefault="00DD511D" w:rsidP="00AC24A1">
      <w:pPr>
        <w:keepLines/>
        <w:tabs>
          <w:tab w:val="left" w:pos="900"/>
        </w:tabs>
        <w:spacing w:line="240" w:lineRule="auto"/>
        <w:rPr>
          <w:rFonts w:ascii="Arial" w:hAnsi="Arial" w:cs="Arial"/>
          <w:szCs w:val="24"/>
        </w:rPr>
      </w:pPr>
      <w:r>
        <w:rPr>
          <w:rFonts w:ascii="Arial" w:hAnsi="Arial" w:cs="Arial"/>
          <w:szCs w:val="24"/>
        </w:rPr>
        <w:t>This 1</w:t>
      </w:r>
      <w:r>
        <w:rPr>
          <w:rFonts w:ascii="Arial" w:hAnsi="Arial" w:cs="Arial"/>
          <w:szCs w:val="24"/>
          <w:vertAlign w:val="superscript"/>
        </w:rPr>
        <w:t xml:space="preserve">st </w:t>
      </w:r>
      <w:r>
        <w:rPr>
          <w:rFonts w:ascii="Arial" w:hAnsi="Arial" w:cs="Arial"/>
          <w:szCs w:val="24"/>
        </w:rPr>
        <w:t>1</w:t>
      </w:r>
      <w:r w:rsidR="006F53EB">
        <w:rPr>
          <w:rFonts w:ascii="Arial" w:hAnsi="Arial" w:cs="Arial"/>
          <w:szCs w:val="24"/>
        </w:rPr>
        <w:t>5</w:t>
      </w:r>
      <w:r>
        <w:rPr>
          <w:rFonts w:ascii="Arial" w:hAnsi="Arial" w:cs="Arial"/>
          <w:szCs w:val="24"/>
        </w:rPr>
        <w:t>-day comment on modifications to</w:t>
      </w:r>
      <w:r w:rsidR="00CF7206" w:rsidRPr="00334086">
        <w:rPr>
          <w:rFonts w:ascii="Arial" w:hAnsi="Arial" w:cs="Arial"/>
          <w:szCs w:val="24"/>
        </w:rPr>
        <w:t xml:space="preserve"> </w:t>
      </w:r>
      <w:r w:rsidR="00814C57" w:rsidRPr="00334086">
        <w:rPr>
          <w:rFonts w:ascii="Arial" w:hAnsi="Arial" w:cs="Arial"/>
          <w:szCs w:val="24"/>
        </w:rPr>
        <w:t>proposed regulations regarding</w:t>
      </w:r>
      <w:r w:rsidR="0002207A" w:rsidRPr="00334086">
        <w:rPr>
          <w:rFonts w:ascii="Arial" w:hAnsi="Arial" w:cs="Arial"/>
          <w:szCs w:val="24"/>
        </w:rPr>
        <w:t xml:space="preserve"> </w:t>
      </w:r>
      <w:r w:rsidR="00AA0883">
        <w:rPr>
          <w:rFonts w:ascii="Arial" w:hAnsi="Arial" w:cs="Arial"/>
          <w:szCs w:val="24"/>
        </w:rPr>
        <w:t xml:space="preserve">a </w:t>
      </w:r>
      <w:r w:rsidR="00814C57" w:rsidRPr="00334086">
        <w:rPr>
          <w:rFonts w:ascii="Arial" w:hAnsi="Arial" w:cs="Arial"/>
          <w:szCs w:val="24"/>
        </w:rPr>
        <w:t xml:space="preserve">Home Health Care Services Fee Schedule is </w:t>
      </w:r>
      <w:r w:rsidR="0002207A" w:rsidRPr="00334086">
        <w:rPr>
          <w:rFonts w:ascii="Arial" w:hAnsi="Arial" w:cs="Arial"/>
          <w:szCs w:val="24"/>
        </w:rPr>
        <w:t xml:space="preserve">presented on behalf of </w:t>
      </w:r>
      <w:r w:rsidR="005B67B1" w:rsidRPr="00334086">
        <w:rPr>
          <w:rFonts w:ascii="Arial" w:hAnsi="Arial" w:cs="Arial"/>
          <w:szCs w:val="24"/>
        </w:rPr>
        <w:t xml:space="preserve">the </w:t>
      </w:r>
      <w:r w:rsidR="0002207A" w:rsidRPr="00334086">
        <w:rPr>
          <w:rFonts w:ascii="Arial" w:hAnsi="Arial" w:cs="Arial"/>
          <w:szCs w:val="24"/>
        </w:rPr>
        <w:t xml:space="preserve">members of the California Workers' Compensation Institute (the Institute).  Institute members include insurers writing 72% of California’s workers’ compensation premium, and self-insured employers with $46B of annual payroll (28% of the state’s total annual self-insured payroll).  </w:t>
      </w:r>
    </w:p>
    <w:p w:rsidR="0002207A" w:rsidRPr="00334086" w:rsidRDefault="0002207A" w:rsidP="00AC24A1">
      <w:pPr>
        <w:keepLines/>
        <w:tabs>
          <w:tab w:val="left" w:pos="900"/>
        </w:tabs>
        <w:spacing w:line="240" w:lineRule="auto"/>
        <w:rPr>
          <w:rFonts w:ascii="Arial" w:hAnsi="Arial" w:cs="Arial"/>
          <w:szCs w:val="24"/>
        </w:rPr>
      </w:pPr>
      <w:r w:rsidRPr="00334086">
        <w:rPr>
          <w:rFonts w:ascii="Arial" w:hAnsi="Arial" w:cs="Arial"/>
          <w:szCs w:val="24"/>
        </w:rPr>
        <w:t xml:space="preserve">Insurer members of the Institute include AIG, Alaska National Insurance Company, </w:t>
      </w:r>
      <w:r w:rsidR="00287C33" w:rsidRPr="00334086">
        <w:rPr>
          <w:rFonts w:ascii="Arial" w:hAnsi="Arial" w:cs="Arial"/>
          <w:szCs w:val="24"/>
        </w:rPr>
        <w:t xml:space="preserve">Allianz/Fireman’s Fund Insurance Company, </w:t>
      </w:r>
      <w:r w:rsidRPr="00334086">
        <w:rPr>
          <w:rFonts w:ascii="Arial" w:hAnsi="Arial" w:cs="Arial"/>
          <w:szCs w:val="24"/>
        </w:rPr>
        <w:t>AmTrust North America, Chubb, CNA, CompWest Insurance Company, Crum &amp; Forster, E</w:t>
      </w:r>
      <w:r w:rsidR="00D14C01">
        <w:rPr>
          <w:rFonts w:ascii="Arial" w:hAnsi="Arial" w:cs="Arial"/>
          <w:szCs w:val="24"/>
        </w:rPr>
        <w:t>MPLOYERS</w:t>
      </w:r>
      <w:r w:rsidRPr="00334086">
        <w:rPr>
          <w:rFonts w:ascii="Arial" w:hAnsi="Arial" w:cs="Arial"/>
          <w:szCs w:val="24"/>
        </w:rPr>
        <w:t xml:space="preserve">, Everest National Insurance Company, The Hartford, ICW Group, Liberty Mutual Insurance, Pacific Compensation Insurance Company, Preferred Employers Group, </w:t>
      </w:r>
      <w:r w:rsidR="00287C33" w:rsidRPr="00334086">
        <w:rPr>
          <w:rFonts w:ascii="Arial" w:hAnsi="Arial" w:cs="Arial"/>
          <w:szCs w:val="24"/>
        </w:rPr>
        <w:t xml:space="preserve">Republic Indemnity Company of America, Sentry Insurance, </w:t>
      </w:r>
      <w:r w:rsidRPr="00334086">
        <w:rPr>
          <w:rFonts w:ascii="Arial" w:hAnsi="Arial" w:cs="Arial"/>
          <w:szCs w:val="24"/>
        </w:rPr>
        <w:t>State Compensation Insurance Fund, State Farm Insurance Companies, Travelers, XL America, Zenith Insurance Company, and Zurich North America.</w:t>
      </w:r>
    </w:p>
    <w:p w:rsidR="0002207A" w:rsidRDefault="0002207A" w:rsidP="00AC24A1">
      <w:pPr>
        <w:keepLines/>
        <w:tabs>
          <w:tab w:val="left" w:pos="900"/>
        </w:tabs>
        <w:spacing w:line="240" w:lineRule="auto"/>
        <w:rPr>
          <w:rFonts w:ascii="Arial" w:hAnsi="Arial" w:cs="Arial"/>
          <w:szCs w:val="24"/>
        </w:rPr>
      </w:pPr>
      <w:r w:rsidRPr="00334086">
        <w:rPr>
          <w:rFonts w:ascii="Arial" w:hAnsi="Arial" w:cs="Arial"/>
          <w:szCs w:val="24"/>
        </w:rPr>
        <w:lastRenderedPageBreak/>
        <w:t xml:space="preserve">Self-insured employer members include Adventist Health, </w:t>
      </w:r>
      <w:r w:rsidR="002622F1" w:rsidRPr="00334086">
        <w:rPr>
          <w:rFonts w:ascii="Arial" w:hAnsi="Arial" w:cs="Arial"/>
          <w:szCs w:val="24"/>
        </w:rPr>
        <w:t xml:space="preserve">California State University Risk Management Authority, </w:t>
      </w:r>
      <w:r w:rsidRPr="00334086">
        <w:rPr>
          <w:rFonts w:ascii="Arial" w:hAnsi="Arial" w:cs="Arial"/>
          <w:szCs w:val="24"/>
        </w:rPr>
        <w:t xml:space="preserve">Chevron Corporation, City and County of San Francisco, City of Santa Ana, City of Torrance, Contra Costa County Schools Insurance Group, Costco Wholesale, </w:t>
      </w:r>
      <w:r w:rsidR="00D57BE7" w:rsidRPr="00334086">
        <w:rPr>
          <w:rFonts w:ascii="Arial" w:hAnsi="Arial" w:cs="Arial"/>
          <w:szCs w:val="24"/>
        </w:rPr>
        <w:t xml:space="preserve">Country of Alameda, </w:t>
      </w:r>
      <w:r w:rsidRPr="00334086">
        <w:rPr>
          <w:rFonts w:ascii="Arial" w:hAnsi="Arial" w:cs="Arial"/>
          <w:szCs w:val="24"/>
        </w:rPr>
        <w:t xml:space="preserve">County of San Bernardino Risk Management, County of Santa Clara, Dignity Health, Foster Farms, Grimmway Enterprises Inc., Kaiser Permanente, Marriott International, Inc., Pacific Gas &amp; Electric Company, Safeway, Inc., Schools Insurance Authority, Sempra Energy, Shasta County Risk Management, Shasta-Trinity Schools Insurance Group; Southern California Edison, </w:t>
      </w:r>
      <w:r w:rsidR="002622F1" w:rsidRPr="00334086">
        <w:rPr>
          <w:rFonts w:ascii="Arial" w:hAnsi="Arial" w:cs="Arial"/>
          <w:szCs w:val="24"/>
        </w:rPr>
        <w:t xml:space="preserve">Special District Risk Management Authority, </w:t>
      </w:r>
      <w:r w:rsidRPr="00334086">
        <w:rPr>
          <w:rFonts w:ascii="Arial" w:hAnsi="Arial" w:cs="Arial"/>
          <w:szCs w:val="24"/>
        </w:rPr>
        <w:t xml:space="preserve">Sutter Health, University of California, and The Walt Disney Company. </w:t>
      </w:r>
    </w:p>
    <w:p w:rsidR="00D14C01" w:rsidRPr="00334086" w:rsidRDefault="00D14C01" w:rsidP="00AC24A1">
      <w:pPr>
        <w:keepLines/>
        <w:tabs>
          <w:tab w:val="left" w:pos="900"/>
        </w:tabs>
        <w:spacing w:line="240" w:lineRule="auto"/>
        <w:rPr>
          <w:rFonts w:ascii="Arial" w:hAnsi="Arial" w:cs="Arial"/>
          <w:szCs w:val="24"/>
        </w:rPr>
      </w:pPr>
    </w:p>
    <w:p w:rsidR="00AA0883" w:rsidRDefault="00AA0883" w:rsidP="00AA0883">
      <w:pPr>
        <w:keepLines/>
        <w:tabs>
          <w:tab w:val="left" w:pos="900"/>
        </w:tabs>
        <w:rPr>
          <w:rFonts w:ascii="Arial" w:hAnsi="Arial" w:cs="Arial"/>
          <w:spacing w:val="-5"/>
        </w:rPr>
      </w:pPr>
      <w:r>
        <w:rPr>
          <w:rFonts w:ascii="Arial" w:hAnsi="Arial" w:cs="Arial"/>
          <w:spacing w:val="-5"/>
        </w:rPr>
        <w:t xml:space="preserve">Recommended revisions to the </w:t>
      </w:r>
      <w:r w:rsidRPr="00AA0883">
        <w:rPr>
          <w:rFonts w:ascii="Arial" w:hAnsi="Arial" w:cs="Arial"/>
          <w:spacing w:val="-5"/>
        </w:rPr>
        <w:t xml:space="preserve">Proposed Home Health Care Services Fee Schedule Regulations </w:t>
      </w:r>
      <w:r>
        <w:rPr>
          <w:rFonts w:ascii="Arial" w:hAnsi="Arial" w:cs="Arial"/>
          <w:spacing w:val="-5"/>
        </w:rPr>
        <w:t xml:space="preserve">are indicated by highlighted </w:t>
      </w:r>
      <w:r>
        <w:rPr>
          <w:rFonts w:ascii="Arial" w:hAnsi="Arial" w:cs="Arial"/>
          <w:highlight w:val="yellow"/>
          <w:u w:val="single"/>
        </w:rPr>
        <w:t>underscore</w:t>
      </w:r>
      <w:r>
        <w:rPr>
          <w:rFonts w:ascii="Arial" w:hAnsi="Arial" w:cs="Arial"/>
          <w:spacing w:val="-5"/>
        </w:rPr>
        <w:t xml:space="preserve"> and </w:t>
      </w:r>
      <w:r>
        <w:rPr>
          <w:rFonts w:ascii="Arial" w:hAnsi="Arial" w:cs="Arial"/>
          <w:strike/>
          <w:highlight w:val="yellow"/>
        </w:rPr>
        <w:t>strikeout</w:t>
      </w:r>
      <w:r>
        <w:rPr>
          <w:rFonts w:ascii="Arial" w:hAnsi="Arial" w:cs="Arial"/>
          <w:spacing w:val="-5"/>
        </w:rPr>
        <w:t xml:space="preserve">.  Comments and discussion by the Institute are indented and identified by </w:t>
      </w:r>
      <w:r>
        <w:rPr>
          <w:rFonts w:ascii="Arial" w:hAnsi="Arial" w:cs="Arial"/>
          <w:i/>
        </w:rPr>
        <w:t>italicized text</w:t>
      </w:r>
      <w:r>
        <w:rPr>
          <w:rFonts w:ascii="Arial" w:hAnsi="Arial" w:cs="Arial"/>
          <w:spacing w:val="-5"/>
        </w:rPr>
        <w:t xml:space="preserve">. </w:t>
      </w:r>
    </w:p>
    <w:p w:rsidR="00E65FA5" w:rsidRDefault="00E65FA5" w:rsidP="00E65FA5">
      <w:pPr>
        <w:pStyle w:val="MessageHeader"/>
        <w:tabs>
          <w:tab w:val="left" w:pos="900"/>
        </w:tabs>
        <w:spacing w:after="0" w:line="240" w:lineRule="auto"/>
        <w:rPr>
          <w:rFonts w:cs="Arial"/>
          <w:b/>
          <w:spacing w:val="0"/>
          <w:sz w:val="22"/>
          <w:szCs w:val="24"/>
        </w:rPr>
      </w:pPr>
      <w:r w:rsidRPr="00E65FA5">
        <w:rPr>
          <w:rFonts w:cs="Arial"/>
          <w:b/>
          <w:spacing w:val="0"/>
          <w:sz w:val="22"/>
          <w:szCs w:val="24"/>
        </w:rPr>
        <w:t>§ 9789.90</w:t>
      </w:r>
      <w:r w:rsidR="000A6F80">
        <w:rPr>
          <w:rFonts w:cs="Arial"/>
          <w:b/>
          <w:spacing w:val="0"/>
          <w:sz w:val="22"/>
          <w:szCs w:val="24"/>
        </w:rPr>
        <w:t xml:space="preserve"> </w:t>
      </w:r>
      <w:r w:rsidRPr="00E65FA5">
        <w:rPr>
          <w:rFonts w:cs="Arial"/>
          <w:b/>
          <w:spacing w:val="0"/>
          <w:sz w:val="22"/>
          <w:szCs w:val="24"/>
        </w:rPr>
        <w:t>Home Health Care - Definitions.</w:t>
      </w:r>
    </w:p>
    <w:p w:rsidR="00AD62D5" w:rsidRDefault="00AD62D5" w:rsidP="00E65FA5">
      <w:pPr>
        <w:pStyle w:val="MessageHeader"/>
        <w:tabs>
          <w:tab w:val="left" w:pos="900"/>
        </w:tabs>
        <w:spacing w:after="0" w:line="240" w:lineRule="auto"/>
        <w:rPr>
          <w:rFonts w:cs="Arial"/>
          <w:b/>
          <w:spacing w:val="0"/>
          <w:sz w:val="22"/>
          <w:szCs w:val="24"/>
        </w:rPr>
      </w:pPr>
    </w:p>
    <w:p w:rsidR="00AD62D5" w:rsidRPr="00265E81" w:rsidRDefault="00AD62D5" w:rsidP="00E65FA5">
      <w:pPr>
        <w:pStyle w:val="MessageHeader"/>
        <w:tabs>
          <w:tab w:val="left" w:pos="900"/>
        </w:tabs>
        <w:spacing w:after="0" w:line="240" w:lineRule="auto"/>
        <w:rPr>
          <w:rFonts w:cs="Arial"/>
          <w:b/>
          <w:spacing w:val="0"/>
          <w:sz w:val="22"/>
          <w:szCs w:val="22"/>
        </w:rPr>
      </w:pPr>
      <w:r w:rsidRPr="00265E81">
        <w:rPr>
          <w:rFonts w:cs="Arial"/>
          <w:b/>
          <w:spacing w:val="0"/>
          <w:sz w:val="22"/>
          <w:szCs w:val="22"/>
        </w:rPr>
        <w:t>Recommendation</w:t>
      </w:r>
    </w:p>
    <w:p w:rsidR="00265E81" w:rsidRDefault="00265E81" w:rsidP="00265E81">
      <w:pPr>
        <w:rPr>
          <w:rFonts w:ascii="Arial" w:hAnsi="Arial" w:cs="Arial"/>
        </w:rPr>
      </w:pPr>
      <w:r w:rsidRPr="00265E81">
        <w:rPr>
          <w:rFonts w:ascii="Arial" w:hAnsi="Arial" w:cs="Arial"/>
        </w:rPr>
        <w:t xml:space="preserve">(b) “Home care organization” means a business entity providing </w:t>
      </w:r>
      <w:r w:rsidRPr="00C077F0">
        <w:rPr>
          <w:rFonts w:ascii="Arial" w:hAnsi="Arial" w:cs="Arial"/>
        </w:rPr>
        <w:t>personal care and domestic</w:t>
      </w:r>
      <w:r w:rsidRPr="00265E81">
        <w:rPr>
          <w:rFonts w:ascii="Arial" w:hAnsi="Arial" w:cs="Arial"/>
        </w:rPr>
        <w:t xml:space="preserve"> care services</w:t>
      </w:r>
      <w:r w:rsidRPr="00265E81">
        <w:rPr>
          <w:rFonts w:ascii="Arial" w:hAnsi="Arial" w:cs="Arial"/>
          <w:strike/>
          <w:highlight w:val="yellow"/>
          <w:u w:val="single"/>
        </w:rPr>
        <w:t>, as those terms are defined under the “home health care services” topic in the Medical Treatment Utilization Schedule (MTUS),</w:t>
      </w:r>
      <w:r w:rsidRPr="00265E81">
        <w:rPr>
          <w:rFonts w:ascii="Arial" w:hAnsi="Arial" w:cs="Arial"/>
        </w:rPr>
        <w:t xml:space="preserve"> to injured workers in the home</w:t>
      </w:r>
      <w:r w:rsidR="00C077F0" w:rsidRPr="00C077F0">
        <w:rPr>
          <w:rFonts w:ascii="Arial" w:hAnsi="Arial" w:cs="Arial"/>
        </w:rPr>
        <w:t xml:space="preserve"> </w:t>
      </w:r>
      <w:r w:rsidRPr="00265E81">
        <w:rPr>
          <w:rFonts w:ascii="Arial" w:hAnsi="Arial" w:cs="Arial"/>
        </w:rPr>
        <w:t xml:space="preserve">and </w:t>
      </w:r>
      <w:r w:rsidRPr="00C077F0">
        <w:rPr>
          <w:rFonts w:ascii="Arial" w:hAnsi="Arial" w:cs="Arial"/>
        </w:rPr>
        <w:t>is</w:t>
      </w:r>
      <w:r w:rsidRPr="00265E81">
        <w:rPr>
          <w:rFonts w:ascii="Arial" w:hAnsi="Arial" w:cs="Arial"/>
        </w:rPr>
        <w:t xml:space="preserve"> licensed as compliant with the Home Care Services Consumer Protection Act of 2013 </w:t>
      </w:r>
      <w:r w:rsidRPr="00CF446D">
        <w:rPr>
          <w:rFonts w:ascii="Arial" w:hAnsi="Arial" w:cs="Arial"/>
        </w:rPr>
        <w:t>(</w:t>
      </w:r>
      <w:r w:rsidRPr="00C077F0">
        <w:rPr>
          <w:rFonts w:ascii="Arial" w:hAnsi="Arial" w:cs="Arial"/>
        </w:rPr>
        <w:t>Health &amp; Safety Code §§ 1796.10-1796.63)</w:t>
      </w:r>
      <w:r w:rsidRPr="00265E81">
        <w:rPr>
          <w:rFonts w:ascii="Arial" w:hAnsi="Arial" w:cs="Arial"/>
        </w:rPr>
        <w:t xml:space="preserve"> by the California Department of Social Services.  </w:t>
      </w:r>
    </w:p>
    <w:p w:rsidR="00AD62D5" w:rsidRDefault="00120D8D" w:rsidP="00E65FA5">
      <w:pPr>
        <w:pStyle w:val="MessageHeader"/>
        <w:tabs>
          <w:tab w:val="left" w:pos="900"/>
        </w:tabs>
        <w:spacing w:after="0" w:line="240" w:lineRule="auto"/>
        <w:rPr>
          <w:rFonts w:cs="Arial"/>
          <w:b/>
          <w:spacing w:val="0"/>
          <w:sz w:val="22"/>
          <w:szCs w:val="24"/>
        </w:rPr>
      </w:pPr>
      <w:r>
        <w:rPr>
          <w:rFonts w:cs="Arial"/>
          <w:b/>
          <w:spacing w:val="0"/>
          <w:sz w:val="22"/>
          <w:szCs w:val="24"/>
        </w:rPr>
        <w:t>Discussion</w:t>
      </w:r>
    </w:p>
    <w:p w:rsidR="00120D8D" w:rsidRPr="00120D8D" w:rsidRDefault="0080232C" w:rsidP="00120D8D">
      <w:pPr>
        <w:autoSpaceDE w:val="0"/>
        <w:autoSpaceDN w:val="0"/>
        <w:adjustRightInd w:val="0"/>
        <w:spacing w:after="0" w:line="240" w:lineRule="auto"/>
        <w:rPr>
          <w:rFonts w:ascii="Arial" w:hAnsi="Arial" w:cs="Arial"/>
          <w:i/>
          <w:szCs w:val="24"/>
        </w:rPr>
      </w:pPr>
      <w:r>
        <w:rPr>
          <w:rFonts w:ascii="Arial" w:hAnsi="Arial" w:cs="Arial"/>
          <w:i/>
          <w:szCs w:val="24"/>
        </w:rPr>
        <w:t>The current Medical Treatment Utilization Schedule (MTUS) does not have a special topic labeled “home health care services</w:t>
      </w:r>
      <w:r w:rsidR="008C6C93">
        <w:rPr>
          <w:rFonts w:ascii="Arial" w:hAnsi="Arial" w:cs="Arial"/>
          <w:i/>
          <w:szCs w:val="24"/>
        </w:rPr>
        <w:t>” and</w:t>
      </w:r>
      <w:r w:rsidR="008C6C93" w:rsidRPr="008C6C93">
        <w:rPr>
          <w:rFonts w:ascii="Arial" w:hAnsi="Arial" w:cs="Arial"/>
          <w:i/>
          <w:szCs w:val="24"/>
        </w:rPr>
        <w:t xml:space="preserve"> </w:t>
      </w:r>
      <w:r w:rsidR="008C6C93">
        <w:rPr>
          <w:rFonts w:ascii="Arial" w:hAnsi="Arial" w:cs="Arial"/>
          <w:i/>
          <w:szCs w:val="24"/>
        </w:rPr>
        <w:t>does not currently define the terms “personal care” and “domestic care services</w:t>
      </w:r>
      <w:r w:rsidR="009328B4">
        <w:rPr>
          <w:rFonts w:ascii="Arial" w:hAnsi="Arial" w:cs="Arial"/>
          <w:i/>
          <w:szCs w:val="24"/>
        </w:rPr>
        <w:t>.</w:t>
      </w:r>
      <w:r>
        <w:rPr>
          <w:rFonts w:ascii="Arial" w:hAnsi="Arial" w:cs="Arial"/>
          <w:i/>
          <w:szCs w:val="24"/>
        </w:rPr>
        <w:t xml:space="preserve">”  The </w:t>
      </w:r>
      <w:r w:rsidR="00120D8D" w:rsidRPr="00120D8D">
        <w:rPr>
          <w:rFonts w:ascii="Arial" w:hAnsi="Arial" w:cs="Arial"/>
          <w:i/>
          <w:szCs w:val="24"/>
        </w:rPr>
        <w:t xml:space="preserve">MTUS </w:t>
      </w:r>
      <w:r w:rsidR="0024171F">
        <w:rPr>
          <w:rFonts w:ascii="Arial" w:hAnsi="Arial" w:cs="Arial"/>
          <w:i/>
          <w:szCs w:val="24"/>
        </w:rPr>
        <w:t xml:space="preserve">Chronic Pain Medical Treatment Guidelines </w:t>
      </w:r>
      <w:r w:rsidR="00120D8D" w:rsidRPr="00120D8D">
        <w:rPr>
          <w:rFonts w:ascii="Arial" w:hAnsi="Arial" w:cs="Arial"/>
          <w:i/>
          <w:szCs w:val="24"/>
        </w:rPr>
        <w:t>p</w:t>
      </w:r>
      <w:r>
        <w:rPr>
          <w:rFonts w:ascii="Arial" w:hAnsi="Arial" w:cs="Arial"/>
          <w:i/>
          <w:szCs w:val="24"/>
        </w:rPr>
        <w:t>rovides the following</w:t>
      </w:r>
      <w:r w:rsidR="00120D8D" w:rsidRPr="00120D8D">
        <w:rPr>
          <w:rFonts w:ascii="Arial" w:hAnsi="Arial" w:cs="Arial"/>
          <w:i/>
          <w:szCs w:val="24"/>
        </w:rPr>
        <w:t xml:space="preserve"> for home health services: </w:t>
      </w:r>
    </w:p>
    <w:p w:rsidR="00120D8D" w:rsidRPr="00AD62D5" w:rsidRDefault="0024171F" w:rsidP="00F32948">
      <w:pPr>
        <w:autoSpaceDE w:val="0"/>
        <w:autoSpaceDN w:val="0"/>
        <w:adjustRightInd w:val="0"/>
        <w:spacing w:after="0" w:line="240" w:lineRule="auto"/>
        <w:ind w:left="720"/>
        <w:rPr>
          <w:rFonts w:ascii="Arial" w:hAnsi="Arial" w:cs="Arial"/>
          <w:i/>
        </w:rPr>
      </w:pPr>
      <w:r>
        <w:rPr>
          <w:rFonts w:ascii="Arial" w:hAnsi="Arial" w:cs="Arial"/>
          <w:i/>
        </w:rPr>
        <w:t>“</w:t>
      </w:r>
      <w:r w:rsidR="00120D8D" w:rsidRPr="00120D8D">
        <w:rPr>
          <w:rFonts w:ascii="Arial" w:hAnsi="Arial" w:cs="Arial"/>
          <w:i/>
        </w:rPr>
        <w:t>Recommended only for otherwise recommended medical treatment for patients who are</w:t>
      </w:r>
      <w:r w:rsidR="00F32948">
        <w:rPr>
          <w:rFonts w:ascii="Arial" w:hAnsi="Arial" w:cs="Arial"/>
          <w:i/>
        </w:rPr>
        <w:t xml:space="preserve"> </w:t>
      </w:r>
      <w:r w:rsidR="00120D8D" w:rsidRPr="00120D8D">
        <w:rPr>
          <w:rFonts w:ascii="Arial" w:hAnsi="Arial" w:cs="Arial"/>
          <w:i/>
        </w:rPr>
        <w:t>homebound,</w:t>
      </w:r>
      <w:r w:rsidR="00767FF1">
        <w:rPr>
          <w:rFonts w:ascii="Arial" w:hAnsi="Arial" w:cs="Arial"/>
          <w:i/>
        </w:rPr>
        <w:t xml:space="preserve"> </w:t>
      </w:r>
      <w:r w:rsidR="00120D8D" w:rsidRPr="00120D8D">
        <w:rPr>
          <w:rFonts w:ascii="Arial" w:hAnsi="Arial" w:cs="Arial"/>
          <w:i/>
        </w:rPr>
        <w:t xml:space="preserve">on a part-time or “intermittent” basis, generally up to no more than 35 hours per week. Medical treatment does not include homemaker services like shopping, cleaning, and </w:t>
      </w:r>
      <w:r w:rsidRPr="00120D8D">
        <w:rPr>
          <w:rFonts w:ascii="Arial" w:hAnsi="Arial" w:cs="Arial"/>
          <w:i/>
        </w:rPr>
        <w:t>laundry</w:t>
      </w:r>
      <w:r w:rsidR="00120D8D" w:rsidRPr="00120D8D">
        <w:rPr>
          <w:rFonts w:ascii="Arial" w:hAnsi="Arial" w:cs="Arial"/>
          <w:i/>
        </w:rPr>
        <w:t>, and personal care given by home health aides like bathing, dressing, and using the bathroom when this is the only care needed. (CMS, 2004)</w:t>
      </w:r>
      <w:r>
        <w:rPr>
          <w:rFonts w:ascii="Arial" w:hAnsi="Arial" w:cs="Arial"/>
          <w:i/>
        </w:rPr>
        <w:t>”</w:t>
      </w:r>
    </w:p>
    <w:p w:rsidR="00120D8D" w:rsidRPr="00120D8D" w:rsidRDefault="00120D8D" w:rsidP="00E65FA5">
      <w:pPr>
        <w:pStyle w:val="MessageHeader"/>
        <w:tabs>
          <w:tab w:val="left" w:pos="900"/>
        </w:tabs>
        <w:spacing w:after="0" w:line="240" w:lineRule="auto"/>
        <w:rPr>
          <w:rFonts w:cs="Arial"/>
          <w:i/>
          <w:spacing w:val="0"/>
          <w:sz w:val="22"/>
          <w:szCs w:val="24"/>
        </w:rPr>
      </w:pPr>
      <w:r>
        <w:rPr>
          <w:rFonts w:cs="Arial"/>
          <w:i/>
          <w:spacing w:val="0"/>
          <w:sz w:val="22"/>
          <w:szCs w:val="24"/>
        </w:rPr>
        <w:t xml:space="preserve"> </w:t>
      </w:r>
    </w:p>
    <w:p w:rsidR="00515393" w:rsidRDefault="008C6C93" w:rsidP="002A23FA">
      <w:pPr>
        <w:tabs>
          <w:tab w:val="left" w:pos="0"/>
        </w:tabs>
        <w:spacing w:after="0" w:line="240" w:lineRule="auto"/>
        <w:rPr>
          <w:rFonts w:ascii="Arial" w:hAnsi="Arial" w:cs="Arial"/>
          <w:i/>
        </w:rPr>
      </w:pPr>
      <w:r>
        <w:rPr>
          <w:rFonts w:ascii="Arial" w:hAnsi="Arial" w:cs="Arial"/>
          <w:i/>
        </w:rPr>
        <w:t xml:space="preserve">Reference to </w:t>
      </w:r>
      <w:r w:rsidR="00A34D42">
        <w:rPr>
          <w:rFonts w:ascii="Arial" w:hAnsi="Arial" w:cs="Arial"/>
          <w:i/>
        </w:rPr>
        <w:t xml:space="preserve">the </w:t>
      </w:r>
      <w:r>
        <w:rPr>
          <w:rFonts w:ascii="Arial" w:hAnsi="Arial" w:cs="Arial"/>
          <w:i/>
        </w:rPr>
        <w:t>language currently in</w:t>
      </w:r>
      <w:r w:rsidR="00A34D42">
        <w:rPr>
          <w:rFonts w:ascii="Arial" w:hAnsi="Arial" w:cs="Arial"/>
          <w:i/>
        </w:rPr>
        <w:t xml:space="preserve"> </w:t>
      </w:r>
      <w:r>
        <w:rPr>
          <w:rFonts w:ascii="Arial" w:hAnsi="Arial" w:cs="Arial"/>
          <w:i/>
        </w:rPr>
        <w:t xml:space="preserve">the </w:t>
      </w:r>
      <w:r w:rsidR="00A34D42">
        <w:rPr>
          <w:rFonts w:ascii="Arial" w:hAnsi="Arial" w:cs="Arial"/>
          <w:i/>
        </w:rPr>
        <w:t>MTUS for “home health services”</w:t>
      </w:r>
      <w:r w:rsidR="007752B3">
        <w:rPr>
          <w:rFonts w:ascii="Arial" w:hAnsi="Arial" w:cs="Arial"/>
          <w:i/>
        </w:rPr>
        <w:t xml:space="preserve"> creates confusion since the description of domestic and personal services is provided as a means of iden</w:t>
      </w:r>
      <w:r w:rsidR="00CA6CEF">
        <w:rPr>
          <w:rFonts w:ascii="Arial" w:hAnsi="Arial" w:cs="Arial"/>
          <w:i/>
        </w:rPr>
        <w:t>tifying services that are excluded from the medical treatment recommendation language.  Reference to MTUS provides no benefit to defining a “home care organization” as being a licensed entity under Health &amp; Safety Code §§ 1796.10-1796.63.</w:t>
      </w:r>
    </w:p>
    <w:p w:rsidR="00CA6CEF" w:rsidRDefault="00CA6CEF" w:rsidP="002A23FA">
      <w:pPr>
        <w:tabs>
          <w:tab w:val="left" w:pos="0"/>
        </w:tabs>
        <w:spacing w:after="0" w:line="240" w:lineRule="auto"/>
        <w:rPr>
          <w:rFonts w:ascii="Arial" w:hAnsi="Arial" w:cs="Arial"/>
          <w:i/>
        </w:rPr>
      </w:pPr>
    </w:p>
    <w:p w:rsidR="00B23E8F" w:rsidRDefault="00B23E8F" w:rsidP="002A23FA">
      <w:pPr>
        <w:tabs>
          <w:tab w:val="left" w:pos="0"/>
        </w:tabs>
        <w:spacing w:after="0" w:line="240" w:lineRule="auto"/>
        <w:rPr>
          <w:rFonts w:ascii="Arial" w:hAnsi="Arial" w:cs="Arial"/>
          <w:i/>
        </w:rPr>
      </w:pPr>
    </w:p>
    <w:p w:rsidR="00CA6CEF" w:rsidRDefault="00CA6CEF" w:rsidP="002A23FA">
      <w:pPr>
        <w:tabs>
          <w:tab w:val="left" w:pos="0"/>
        </w:tabs>
        <w:spacing w:after="0" w:line="240" w:lineRule="auto"/>
        <w:rPr>
          <w:rFonts w:ascii="Arial" w:hAnsi="Arial" w:cs="Arial"/>
          <w:b/>
        </w:rPr>
      </w:pPr>
      <w:r>
        <w:rPr>
          <w:rFonts w:ascii="Arial" w:hAnsi="Arial" w:cs="Arial"/>
          <w:b/>
        </w:rPr>
        <w:t>Recommendation</w:t>
      </w:r>
    </w:p>
    <w:p w:rsidR="00C37FC7" w:rsidRPr="00303027" w:rsidRDefault="00C37FC7" w:rsidP="00C37FC7">
      <w:pPr>
        <w:rPr>
          <w:rFonts w:ascii="Arial" w:hAnsi="Arial" w:cs="Arial"/>
        </w:rPr>
      </w:pPr>
      <w:r w:rsidRPr="00C37FC7">
        <w:rPr>
          <w:rFonts w:ascii="Arial" w:hAnsi="Arial" w:cs="Arial"/>
        </w:rPr>
        <w:t xml:space="preserve">(d) “Home health care services” include the provision of medical and other health care services, including personal care and domestic care services, to the injured </w:t>
      </w:r>
      <w:r w:rsidRPr="00C37FC7">
        <w:rPr>
          <w:rFonts w:ascii="Arial" w:hAnsi="Arial" w:cs="Arial"/>
        </w:rPr>
        <w:lastRenderedPageBreak/>
        <w:t xml:space="preserve">worker, in </w:t>
      </w:r>
      <w:r w:rsidRPr="00CF446D">
        <w:rPr>
          <w:rFonts w:ascii="Arial" w:hAnsi="Arial" w:cs="Arial"/>
          <w:strike/>
          <w:highlight w:val="yellow"/>
        </w:rPr>
        <w:t>their</w:t>
      </w:r>
      <w:r w:rsidRPr="00CF446D">
        <w:rPr>
          <w:rFonts w:ascii="Arial" w:hAnsi="Arial" w:cs="Arial"/>
          <w:highlight w:val="yellow"/>
        </w:rPr>
        <w:t xml:space="preserve"> </w:t>
      </w:r>
      <w:r w:rsidR="00210118" w:rsidRPr="00CF446D">
        <w:rPr>
          <w:rFonts w:ascii="Arial" w:hAnsi="Arial" w:cs="Arial"/>
          <w:highlight w:val="yellow"/>
          <w:u w:val="single"/>
        </w:rPr>
        <w:t>his or her</w:t>
      </w:r>
      <w:r w:rsidR="00210118">
        <w:rPr>
          <w:rFonts w:ascii="Arial" w:hAnsi="Arial" w:cs="Arial"/>
          <w:u w:val="single"/>
        </w:rPr>
        <w:t xml:space="preserve"> </w:t>
      </w:r>
      <w:r w:rsidRPr="00C37FC7">
        <w:rPr>
          <w:rFonts w:ascii="Arial" w:hAnsi="Arial" w:cs="Arial"/>
        </w:rPr>
        <w:t>place of residence</w:t>
      </w:r>
      <w:r w:rsidR="00210118" w:rsidRPr="00CF446D">
        <w:rPr>
          <w:rFonts w:ascii="Arial" w:hAnsi="Arial" w:cs="Arial"/>
          <w:strike/>
        </w:rPr>
        <w:t xml:space="preserve"> </w:t>
      </w:r>
      <w:r w:rsidR="00210118" w:rsidRPr="00CF446D">
        <w:rPr>
          <w:rFonts w:ascii="Arial" w:hAnsi="Arial" w:cs="Arial"/>
          <w:strike/>
          <w:highlight w:val="yellow"/>
        </w:rPr>
        <w:t xml:space="preserve">as set forth in the </w:t>
      </w:r>
      <w:r w:rsidR="00303027" w:rsidRPr="00CF446D">
        <w:rPr>
          <w:rFonts w:ascii="Arial" w:hAnsi="Arial" w:cs="Arial"/>
          <w:strike/>
          <w:highlight w:val="yellow"/>
        </w:rPr>
        <w:t>“home health care services” topic of the MTUS</w:t>
      </w:r>
      <w:r w:rsidR="00303027">
        <w:rPr>
          <w:rFonts w:ascii="Arial" w:hAnsi="Arial" w:cs="Arial"/>
        </w:rPr>
        <w:t>.</w:t>
      </w:r>
    </w:p>
    <w:p w:rsidR="00CA6CEF" w:rsidRPr="00C37FC7" w:rsidRDefault="00C37FC7" w:rsidP="002A23FA">
      <w:pPr>
        <w:tabs>
          <w:tab w:val="left" w:pos="0"/>
        </w:tabs>
        <w:spacing w:after="0" w:line="240" w:lineRule="auto"/>
        <w:rPr>
          <w:rFonts w:ascii="Arial" w:hAnsi="Arial" w:cs="Arial"/>
          <w:b/>
        </w:rPr>
      </w:pPr>
      <w:r w:rsidRPr="00C37FC7">
        <w:rPr>
          <w:rFonts w:ascii="Arial" w:hAnsi="Arial" w:cs="Arial"/>
          <w:b/>
        </w:rPr>
        <w:t>Discussion</w:t>
      </w:r>
    </w:p>
    <w:p w:rsidR="00530AA2" w:rsidRDefault="00FB3C84" w:rsidP="002A23FA">
      <w:pPr>
        <w:tabs>
          <w:tab w:val="left" w:pos="0"/>
        </w:tabs>
        <w:spacing w:after="0" w:line="240" w:lineRule="auto"/>
        <w:rPr>
          <w:rFonts w:ascii="Arial" w:hAnsi="Arial" w:cs="Arial"/>
          <w:i/>
          <w:szCs w:val="24"/>
        </w:rPr>
      </w:pPr>
      <w:r>
        <w:rPr>
          <w:rFonts w:ascii="Arial" w:hAnsi="Arial" w:cs="Arial"/>
          <w:i/>
          <w:szCs w:val="24"/>
        </w:rPr>
        <w:t>The current Medical Treatment Utilization Schedule (MTUS) does not have a special topic labeled “home health care services</w:t>
      </w:r>
      <w:r w:rsidR="00F013EE">
        <w:rPr>
          <w:rFonts w:ascii="Arial" w:hAnsi="Arial" w:cs="Arial"/>
          <w:i/>
          <w:szCs w:val="24"/>
        </w:rPr>
        <w:t>.</w:t>
      </w:r>
      <w:r>
        <w:rPr>
          <w:rFonts w:ascii="Arial" w:hAnsi="Arial" w:cs="Arial"/>
          <w:i/>
          <w:szCs w:val="24"/>
        </w:rPr>
        <w:t xml:space="preserve">”  </w:t>
      </w:r>
      <w:r w:rsidR="00920871">
        <w:rPr>
          <w:rFonts w:ascii="Arial" w:hAnsi="Arial" w:cs="Arial"/>
          <w:i/>
          <w:szCs w:val="24"/>
        </w:rPr>
        <w:t>In</w:t>
      </w:r>
      <w:r w:rsidR="003F7BFB">
        <w:rPr>
          <w:rFonts w:ascii="Arial" w:hAnsi="Arial" w:cs="Arial"/>
          <w:i/>
          <w:szCs w:val="24"/>
        </w:rPr>
        <w:t>-</w:t>
      </w:r>
      <w:r w:rsidR="00920871">
        <w:rPr>
          <w:rFonts w:ascii="Arial" w:hAnsi="Arial" w:cs="Arial"/>
          <w:i/>
          <w:szCs w:val="24"/>
        </w:rPr>
        <w:t xml:space="preserve">home provision of recommended medical treatment is addressed </w:t>
      </w:r>
      <w:r w:rsidR="00B63A37">
        <w:rPr>
          <w:rFonts w:ascii="Arial" w:hAnsi="Arial" w:cs="Arial"/>
          <w:i/>
          <w:szCs w:val="24"/>
        </w:rPr>
        <w:t>for homebound injured workers</w:t>
      </w:r>
      <w:r w:rsidR="00793BCA">
        <w:rPr>
          <w:rFonts w:ascii="Arial" w:hAnsi="Arial" w:cs="Arial"/>
          <w:i/>
          <w:szCs w:val="24"/>
        </w:rPr>
        <w:t>,</w:t>
      </w:r>
      <w:r w:rsidR="00B63A37">
        <w:rPr>
          <w:rFonts w:ascii="Arial" w:hAnsi="Arial" w:cs="Arial"/>
          <w:i/>
          <w:szCs w:val="24"/>
        </w:rPr>
        <w:t xml:space="preserve"> </w:t>
      </w:r>
      <w:r w:rsidR="00920871">
        <w:rPr>
          <w:rFonts w:ascii="Arial" w:hAnsi="Arial" w:cs="Arial"/>
          <w:i/>
          <w:szCs w:val="24"/>
        </w:rPr>
        <w:t>and domestic and personal care services</w:t>
      </w:r>
      <w:r w:rsidR="00793BCA">
        <w:rPr>
          <w:rFonts w:ascii="Arial" w:hAnsi="Arial" w:cs="Arial"/>
          <w:i/>
          <w:szCs w:val="24"/>
        </w:rPr>
        <w:t xml:space="preserve"> are partially addressed as non-medical services in the MTUS Chronic Pain Medical Treatment Guidelines</w:t>
      </w:r>
      <w:r w:rsidR="00F013EE">
        <w:rPr>
          <w:rFonts w:ascii="Arial" w:hAnsi="Arial" w:cs="Arial"/>
          <w:i/>
          <w:szCs w:val="24"/>
        </w:rPr>
        <w:t xml:space="preserve">. The </w:t>
      </w:r>
      <w:r w:rsidR="00793BCA">
        <w:rPr>
          <w:rFonts w:ascii="Arial" w:hAnsi="Arial" w:cs="Arial"/>
          <w:i/>
          <w:szCs w:val="24"/>
        </w:rPr>
        <w:t>Institute suggests that</w:t>
      </w:r>
      <w:r w:rsidR="005E0385">
        <w:rPr>
          <w:rFonts w:ascii="Arial" w:hAnsi="Arial" w:cs="Arial"/>
          <w:i/>
          <w:szCs w:val="24"/>
        </w:rPr>
        <w:t xml:space="preserve"> the </w:t>
      </w:r>
      <w:r w:rsidR="00F013EE">
        <w:rPr>
          <w:rFonts w:ascii="Arial" w:hAnsi="Arial" w:cs="Arial"/>
          <w:i/>
          <w:szCs w:val="24"/>
        </w:rPr>
        <w:t xml:space="preserve">reference to the MTUS should be removed until the MTUS </w:t>
      </w:r>
      <w:r w:rsidR="00793BCA">
        <w:rPr>
          <w:rFonts w:ascii="Arial" w:hAnsi="Arial" w:cs="Arial"/>
          <w:i/>
          <w:szCs w:val="24"/>
        </w:rPr>
        <w:t xml:space="preserve">is revised to </w:t>
      </w:r>
      <w:r w:rsidR="00F013EE">
        <w:rPr>
          <w:rFonts w:ascii="Arial" w:hAnsi="Arial" w:cs="Arial"/>
          <w:i/>
          <w:szCs w:val="24"/>
        </w:rPr>
        <w:t>properly address home health care services</w:t>
      </w:r>
      <w:r w:rsidR="00793BCA">
        <w:rPr>
          <w:rFonts w:ascii="Arial" w:hAnsi="Arial" w:cs="Arial"/>
          <w:i/>
          <w:szCs w:val="24"/>
        </w:rPr>
        <w:t>, including personal care and domestic services</w:t>
      </w:r>
      <w:r w:rsidR="00B63A37">
        <w:rPr>
          <w:rFonts w:ascii="Arial" w:hAnsi="Arial" w:cs="Arial"/>
          <w:i/>
          <w:szCs w:val="24"/>
        </w:rPr>
        <w:t>.</w:t>
      </w:r>
    </w:p>
    <w:p w:rsidR="00F27567" w:rsidRDefault="00F27567" w:rsidP="002A23FA">
      <w:pPr>
        <w:tabs>
          <w:tab w:val="left" w:pos="0"/>
        </w:tabs>
        <w:spacing w:after="0" w:line="240" w:lineRule="auto"/>
        <w:rPr>
          <w:rFonts w:ascii="Arial" w:hAnsi="Arial" w:cs="Arial"/>
          <w:i/>
          <w:szCs w:val="24"/>
        </w:rPr>
      </w:pPr>
    </w:p>
    <w:p w:rsidR="00F27567" w:rsidRDefault="00F27567" w:rsidP="00F27567">
      <w:pPr>
        <w:tabs>
          <w:tab w:val="left" w:pos="0"/>
        </w:tabs>
        <w:spacing w:after="0" w:line="240" w:lineRule="auto"/>
        <w:rPr>
          <w:rFonts w:ascii="Arial" w:hAnsi="Arial" w:cs="Arial"/>
          <w:i/>
          <w:szCs w:val="24"/>
        </w:rPr>
      </w:pPr>
      <w:r>
        <w:rPr>
          <w:rFonts w:ascii="Arial" w:hAnsi="Arial" w:cs="Arial"/>
          <w:i/>
          <w:szCs w:val="24"/>
        </w:rPr>
        <w:t xml:space="preserve">Replacing “their with “his or her” </w:t>
      </w:r>
      <w:r w:rsidR="00463E5C">
        <w:rPr>
          <w:rFonts w:ascii="Arial" w:hAnsi="Arial" w:cs="Arial"/>
          <w:i/>
          <w:szCs w:val="24"/>
        </w:rPr>
        <w:t>provides</w:t>
      </w:r>
      <w:r>
        <w:rPr>
          <w:rFonts w:ascii="Arial" w:hAnsi="Arial" w:cs="Arial"/>
          <w:i/>
          <w:szCs w:val="24"/>
        </w:rPr>
        <w:t xml:space="preserve"> a minor grammatical improvement</w:t>
      </w:r>
    </w:p>
    <w:p w:rsidR="00F27567" w:rsidRDefault="00F27567" w:rsidP="00F27567">
      <w:pPr>
        <w:tabs>
          <w:tab w:val="left" w:pos="0"/>
        </w:tabs>
        <w:spacing w:after="0" w:line="240" w:lineRule="auto"/>
        <w:rPr>
          <w:rFonts w:ascii="Arial" w:hAnsi="Arial" w:cs="Arial"/>
          <w:i/>
          <w:szCs w:val="24"/>
        </w:rPr>
      </w:pPr>
    </w:p>
    <w:p w:rsidR="004379EA" w:rsidRDefault="004379EA" w:rsidP="002A23FA">
      <w:pPr>
        <w:tabs>
          <w:tab w:val="left" w:pos="0"/>
        </w:tabs>
        <w:spacing w:after="0" w:line="240" w:lineRule="auto"/>
        <w:rPr>
          <w:rFonts w:ascii="Arial" w:hAnsi="Arial" w:cs="Arial"/>
          <w:i/>
          <w:szCs w:val="24"/>
        </w:rPr>
      </w:pPr>
    </w:p>
    <w:p w:rsidR="00D14C01" w:rsidRDefault="00D14C01" w:rsidP="002A23FA">
      <w:pPr>
        <w:tabs>
          <w:tab w:val="left" w:pos="0"/>
        </w:tabs>
        <w:spacing w:after="0" w:line="240" w:lineRule="auto"/>
        <w:rPr>
          <w:rFonts w:ascii="Arial" w:hAnsi="Arial" w:cs="Arial"/>
          <w:i/>
          <w:szCs w:val="24"/>
        </w:rPr>
      </w:pPr>
    </w:p>
    <w:p w:rsidR="00D14C01" w:rsidRDefault="00D14C01" w:rsidP="002A23FA">
      <w:pPr>
        <w:tabs>
          <w:tab w:val="left" w:pos="0"/>
        </w:tabs>
        <w:spacing w:after="0" w:line="240" w:lineRule="auto"/>
        <w:rPr>
          <w:rFonts w:ascii="Arial" w:hAnsi="Arial" w:cs="Arial"/>
          <w:i/>
          <w:szCs w:val="24"/>
        </w:rPr>
      </w:pPr>
    </w:p>
    <w:p w:rsidR="00D14C01" w:rsidRDefault="00D14C01" w:rsidP="002A23FA">
      <w:pPr>
        <w:tabs>
          <w:tab w:val="left" w:pos="0"/>
        </w:tabs>
        <w:spacing w:after="0" w:line="240" w:lineRule="auto"/>
        <w:rPr>
          <w:rFonts w:ascii="Arial" w:hAnsi="Arial" w:cs="Arial"/>
          <w:i/>
          <w:szCs w:val="24"/>
        </w:rPr>
      </w:pPr>
    </w:p>
    <w:p w:rsidR="00D14C01" w:rsidRDefault="00D14C01" w:rsidP="002A23FA">
      <w:pPr>
        <w:tabs>
          <w:tab w:val="left" w:pos="0"/>
        </w:tabs>
        <w:spacing w:after="0" w:line="240" w:lineRule="auto"/>
        <w:rPr>
          <w:rFonts w:ascii="Arial" w:hAnsi="Arial" w:cs="Arial"/>
          <w:i/>
          <w:szCs w:val="24"/>
        </w:rPr>
      </w:pPr>
    </w:p>
    <w:p w:rsidR="00EA57F2" w:rsidRDefault="00EA57F2" w:rsidP="00EA57F2">
      <w:pPr>
        <w:tabs>
          <w:tab w:val="left" w:pos="0"/>
        </w:tabs>
        <w:spacing w:after="0" w:line="240" w:lineRule="auto"/>
        <w:rPr>
          <w:rFonts w:ascii="Arial" w:hAnsi="Arial" w:cs="Arial"/>
          <w:b/>
        </w:rPr>
      </w:pPr>
      <w:r>
        <w:rPr>
          <w:rFonts w:ascii="Arial" w:hAnsi="Arial" w:cs="Arial"/>
          <w:b/>
        </w:rPr>
        <w:t>Recommendation</w:t>
      </w:r>
    </w:p>
    <w:p w:rsidR="001B0009" w:rsidRPr="00C57F0D" w:rsidRDefault="001B0009" w:rsidP="001B0009">
      <w:pPr>
        <w:pStyle w:val="MessageHeader"/>
        <w:tabs>
          <w:tab w:val="left" w:pos="900"/>
        </w:tabs>
        <w:spacing w:after="0" w:line="240" w:lineRule="auto"/>
        <w:ind w:left="0" w:firstLine="0"/>
        <w:rPr>
          <w:rFonts w:cs="Arial"/>
          <w:spacing w:val="0"/>
          <w:sz w:val="22"/>
          <w:szCs w:val="24"/>
          <w:highlight w:val="yellow"/>
          <w:u w:val="single"/>
        </w:rPr>
      </w:pPr>
      <w:r>
        <w:rPr>
          <w:rFonts w:cs="Arial"/>
          <w:spacing w:val="0"/>
          <w:sz w:val="22"/>
          <w:szCs w:val="24"/>
          <w:highlight w:val="yellow"/>
          <w:u w:val="single"/>
        </w:rPr>
        <w:t>(-)</w:t>
      </w:r>
      <w:r w:rsidRPr="00C57F0D">
        <w:rPr>
          <w:rFonts w:cs="Arial"/>
          <w:spacing w:val="0"/>
          <w:sz w:val="22"/>
          <w:szCs w:val="24"/>
          <w:highlight w:val="yellow"/>
          <w:u w:val="single"/>
        </w:rPr>
        <w:t xml:space="preserve">“Attendant care services” </w:t>
      </w:r>
      <w:r w:rsidR="009F0318">
        <w:rPr>
          <w:rFonts w:cs="Arial"/>
          <w:spacing w:val="0"/>
          <w:sz w:val="22"/>
          <w:szCs w:val="24"/>
          <w:highlight w:val="yellow"/>
          <w:u w:val="single"/>
        </w:rPr>
        <w:t>means</w:t>
      </w:r>
      <w:r w:rsidR="00A341A8">
        <w:rPr>
          <w:rFonts w:cs="Arial"/>
          <w:spacing w:val="0"/>
          <w:sz w:val="22"/>
          <w:szCs w:val="24"/>
          <w:highlight w:val="yellow"/>
          <w:u w:val="single"/>
        </w:rPr>
        <w:t xml:space="preserve"> </w:t>
      </w:r>
      <w:r w:rsidRPr="00C57F0D">
        <w:rPr>
          <w:rFonts w:cs="Arial"/>
          <w:spacing w:val="0"/>
          <w:sz w:val="22"/>
          <w:szCs w:val="24"/>
          <w:highlight w:val="yellow"/>
          <w:u w:val="single"/>
        </w:rPr>
        <w:t>tasks that assist the injured worker with activities of daily living (ADLs) and include:  bathing, dressing, toileting, transferring bed/chair, etc.</w:t>
      </w:r>
    </w:p>
    <w:p w:rsidR="001B0009" w:rsidRDefault="001B0009" w:rsidP="00440427">
      <w:pPr>
        <w:pStyle w:val="MessageHeader"/>
        <w:tabs>
          <w:tab w:val="left" w:pos="900"/>
        </w:tabs>
        <w:spacing w:after="0" w:line="240" w:lineRule="auto"/>
        <w:ind w:left="0" w:firstLine="0"/>
        <w:rPr>
          <w:rFonts w:cs="Arial"/>
          <w:spacing w:val="0"/>
          <w:sz w:val="22"/>
          <w:szCs w:val="24"/>
          <w:highlight w:val="yellow"/>
          <w:u w:val="single"/>
        </w:rPr>
      </w:pPr>
    </w:p>
    <w:p w:rsidR="001B0009" w:rsidRDefault="001B0009" w:rsidP="001B0009">
      <w:pPr>
        <w:pStyle w:val="MessageHeader"/>
        <w:tabs>
          <w:tab w:val="left" w:pos="900"/>
        </w:tabs>
        <w:spacing w:after="0" w:line="240" w:lineRule="auto"/>
        <w:ind w:left="0" w:firstLine="0"/>
        <w:rPr>
          <w:rFonts w:cs="Arial"/>
          <w:spacing w:val="0"/>
          <w:sz w:val="22"/>
          <w:szCs w:val="24"/>
        </w:rPr>
      </w:pPr>
      <w:r>
        <w:rPr>
          <w:rFonts w:cs="Arial"/>
          <w:spacing w:val="0"/>
          <w:sz w:val="22"/>
          <w:szCs w:val="24"/>
          <w:highlight w:val="yellow"/>
          <w:u w:val="single"/>
        </w:rPr>
        <w:t>(-)</w:t>
      </w:r>
      <w:r w:rsidRPr="00F95EEA">
        <w:rPr>
          <w:rFonts w:cs="Arial"/>
          <w:spacing w:val="0"/>
          <w:sz w:val="22"/>
          <w:szCs w:val="24"/>
          <w:highlight w:val="yellow"/>
          <w:u w:val="single"/>
        </w:rPr>
        <w:t xml:space="preserve">“Chore services” </w:t>
      </w:r>
      <w:r w:rsidR="009F0318">
        <w:rPr>
          <w:rFonts w:cs="Arial"/>
          <w:spacing w:val="0"/>
          <w:sz w:val="22"/>
          <w:szCs w:val="24"/>
          <w:highlight w:val="yellow"/>
          <w:u w:val="single"/>
        </w:rPr>
        <w:t>means</w:t>
      </w:r>
      <w:r w:rsidRPr="00F95EEA">
        <w:rPr>
          <w:rFonts w:cs="Arial"/>
          <w:spacing w:val="0"/>
          <w:sz w:val="22"/>
          <w:szCs w:val="24"/>
          <w:highlight w:val="yellow"/>
          <w:u w:val="single"/>
        </w:rPr>
        <w:t xml:space="preserve"> tasks that assist the injured worker with instrumental activities of daily living (IADLs) and include:  housekeeping, laundry, food preparation, shopping, etc</w:t>
      </w:r>
      <w:r>
        <w:rPr>
          <w:rFonts w:cs="Arial"/>
          <w:spacing w:val="0"/>
          <w:sz w:val="22"/>
          <w:szCs w:val="24"/>
        </w:rPr>
        <w:t>.</w:t>
      </w:r>
    </w:p>
    <w:p w:rsidR="001B0009" w:rsidRDefault="001B0009" w:rsidP="00440427">
      <w:pPr>
        <w:pStyle w:val="MessageHeader"/>
        <w:tabs>
          <w:tab w:val="left" w:pos="900"/>
        </w:tabs>
        <w:spacing w:after="0" w:line="240" w:lineRule="auto"/>
        <w:ind w:left="0" w:firstLine="0"/>
        <w:rPr>
          <w:rFonts w:cs="Arial"/>
          <w:spacing w:val="0"/>
          <w:sz w:val="22"/>
          <w:szCs w:val="24"/>
          <w:highlight w:val="yellow"/>
          <w:u w:val="single"/>
        </w:rPr>
      </w:pPr>
    </w:p>
    <w:p w:rsidR="00440427" w:rsidRDefault="00440427" w:rsidP="00440427">
      <w:pPr>
        <w:pStyle w:val="MessageHeader"/>
        <w:tabs>
          <w:tab w:val="left" w:pos="900"/>
        </w:tabs>
        <w:spacing w:after="0" w:line="240" w:lineRule="auto"/>
        <w:ind w:left="0" w:firstLine="0"/>
        <w:rPr>
          <w:rFonts w:cs="Arial"/>
          <w:spacing w:val="0"/>
          <w:sz w:val="22"/>
          <w:szCs w:val="24"/>
          <w:highlight w:val="yellow"/>
          <w:u w:val="single"/>
        </w:rPr>
      </w:pPr>
      <w:r>
        <w:rPr>
          <w:rFonts w:cs="Arial"/>
          <w:spacing w:val="0"/>
          <w:sz w:val="22"/>
          <w:szCs w:val="24"/>
          <w:highlight w:val="yellow"/>
          <w:u w:val="single"/>
        </w:rPr>
        <w:t>(-)</w:t>
      </w:r>
      <w:r w:rsidRPr="00F95EEA">
        <w:rPr>
          <w:rFonts w:cs="Arial"/>
          <w:spacing w:val="0"/>
          <w:sz w:val="22"/>
          <w:szCs w:val="24"/>
          <w:highlight w:val="yellow"/>
          <w:u w:val="single"/>
        </w:rPr>
        <w:t>“Home health aide” means an aide who has successfully completed a state-approved training program, is employed by a home health agency or hospice program, and provides personal care services in the patient</w:t>
      </w:r>
      <w:r>
        <w:rPr>
          <w:rFonts w:cs="Arial"/>
          <w:spacing w:val="0"/>
          <w:sz w:val="22"/>
          <w:szCs w:val="24"/>
          <w:highlight w:val="yellow"/>
          <w:u w:val="single"/>
        </w:rPr>
        <w:t>’</w:t>
      </w:r>
      <w:r w:rsidRPr="00F95EEA">
        <w:rPr>
          <w:rFonts w:cs="Arial"/>
          <w:spacing w:val="0"/>
          <w:sz w:val="22"/>
          <w:szCs w:val="24"/>
          <w:highlight w:val="yellow"/>
          <w:u w:val="single"/>
        </w:rPr>
        <w:t>s home</w:t>
      </w:r>
      <w:r w:rsidR="00961910">
        <w:rPr>
          <w:rFonts w:cs="Arial"/>
          <w:spacing w:val="0"/>
          <w:sz w:val="22"/>
          <w:szCs w:val="24"/>
          <w:highlight w:val="yellow"/>
          <w:u w:val="single"/>
        </w:rPr>
        <w:t>.</w:t>
      </w:r>
      <w:r w:rsidRPr="00F95EEA">
        <w:rPr>
          <w:rFonts w:cs="Arial"/>
          <w:spacing w:val="0"/>
          <w:sz w:val="22"/>
          <w:szCs w:val="24"/>
          <w:highlight w:val="yellow"/>
          <w:u w:val="single"/>
        </w:rPr>
        <w:t xml:space="preserve">  </w:t>
      </w:r>
    </w:p>
    <w:p w:rsidR="00961910" w:rsidRPr="00B22353" w:rsidRDefault="00961910" w:rsidP="00440427">
      <w:pPr>
        <w:pStyle w:val="MessageHeader"/>
        <w:tabs>
          <w:tab w:val="left" w:pos="900"/>
        </w:tabs>
        <w:spacing w:after="0" w:line="240" w:lineRule="auto"/>
        <w:ind w:left="0" w:firstLine="0"/>
        <w:rPr>
          <w:rFonts w:eastAsiaTheme="minorEastAsia" w:cs="Arial"/>
          <w:color w:val="auto"/>
          <w:spacing w:val="0"/>
          <w:sz w:val="22"/>
          <w:szCs w:val="22"/>
          <w:highlight w:val="yellow"/>
          <w:u w:val="single"/>
        </w:rPr>
      </w:pPr>
    </w:p>
    <w:p w:rsidR="00961910" w:rsidRPr="003D6DE4" w:rsidRDefault="00961910" w:rsidP="003D6DE4">
      <w:pPr>
        <w:pStyle w:val="MessageHeader"/>
        <w:tabs>
          <w:tab w:val="left" w:pos="900"/>
        </w:tabs>
        <w:spacing w:after="0" w:line="240" w:lineRule="auto"/>
        <w:ind w:left="0" w:firstLine="0"/>
        <w:rPr>
          <w:rFonts w:cs="Arial"/>
          <w:spacing w:val="0"/>
          <w:sz w:val="22"/>
          <w:szCs w:val="24"/>
          <w:highlight w:val="yellow"/>
          <w:u w:val="single"/>
        </w:rPr>
      </w:pPr>
      <w:r w:rsidRPr="003D6DE4">
        <w:rPr>
          <w:rFonts w:cs="Arial"/>
          <w:spacing w:val="0"/>
          <w:sz w:val="22"/>
          <w:szCs w:val="24"/>
          <w:highlight w:val="yellow"/>
          <w:u w:val="single"/>
        </w:rPr>
        <w:t>(-)“Qualified Occupational Therapist Assistant” (OTA) means an individual licensed as an OTA and currently registered with the National Board for Certification in Occupational Therapy (NBCOT).</w:t>
      </w:r>
    </w:p>
    <w:p w:rsidR="00961910" w:rsidRPr="003D6DE4" w:rsidRDefault="00961910" w:rsidP="00961910">
      <w:pPr>
        <w:pStyle w:val="MessageHeader"/>
        <w:rPr>
          <w:rFonts w:cs="Arial"/>
          <w:sz w:val="22"/>
          <w:szCs w:val="22"/>
          <w:highlight w:val="yellow"/>
          <w:u w:val="single"/>
        </w:rPr>
      </w:pPr>
    </w:p>
    <w:p w:rsidR="00961910" w:rsidRPr="003D6DE4" w:rsidRDefault="00961910" w:rsidP="003D6DE4">
      <w:pPr>
        <w:pStyle w:val="MessageHeader"/>
        <w:tabs>
          <w:tab w:val="left" w:pos="900"/>
        </w:tabs>
        <w:spacing w:after="0" w:line="240" w:lineRule="auto"/>
        <w:ind w:left="0" w:firstLine="0"/>
        <w:rPr>
          <w:rFonts w:cs="Arial"/>
          <w:spacing w:val="0"/>
          <w:sz w:val="22"/>
          <w:szCs w:val="24"/>
          <w:highlight w:val="yellow"/>
          <w:u w:val="single"/>
        </w:rPr>
      </w:pPr>
      <w:r w:rsidRPr="003D6DE4">
        <w:rPr>
          <w:rFonts w:cs="Arial"/>
          <w:spacing w:val="0"/>
          <w:sz w:val="22"/>
          <w:szCs w:val="24"/>
          <w:highlight w:val="yellow"/>
          <w:u w:val="single"/>
        </w:rPr>
        <w:t xml:space="preserve">(-)”Qualified Physical Therapy Assistant” means an individual holding a valid, unexpired, and  </w:t>
      </w:r>
    </w:p>
    <w:p w:rsidR="00961910" w:rsidRPr="003D6DE4" w:rsidRDefault="00961910" w:rsidP="003D6DE4">
      <w:pPr>
        <w:pStyle w:val="MessageHeader"/>
        <w:tabs>
          <w:tab w:val="left" w:pos="900"/>
        </w:tabs>
        <w:spacing w:after="0" w:line="240" w:lineRule="auto"/>
        <w:ind w:left="0" w:firstLine="0"/>
        <w:rPr>
          <w:rFonts w:cs="Arial"/>
          <w:spacing w:val="0"/>
          <w:sz w:val="22"/>
          <w:szCs w:val="24"/>
          <w:highlight w:val="yellow"/>
          <w:u w:val="single"/>
        </w:rPr>
      </w:pPr>
      <w:r w:rsidRPr="003D6DE4">
        <w:rPr>
          <w:rFonts w:cs="Arial"/>
          <w:spacing w:val="0"/>
          <w:sz w:val="22"/>
          <w:szCs w:val="24"/>
          <w:highlight w:val="yellow"/>
          <w:u w:val="single"/>
        </w:rPr>
        <w:t>unrevoked physical therapist assistant license who may assist in the provision of physical therapy services only under the supervision of a physical therapist licensed by the board.</w:t>
      </w:r>
    </w:p>
    <w:p w:rsidR="00961910" w:rsidRPr="000777F7" w:rsidRDefault="00961910" w:rsidP="00440427">
      <w:pPr>
        <w:pStyle w:val="MessageHeader"/>
        <w:tabs>
          <w:tab w:val="left" w:pos="900"/>
        </w:tabs>
        <w:spacing w:after="0" w:line="240" w:lineRule="auto"/>
        <w:ind w:left="0" w:firstLine="0"/>
        <w:rPr>
          <w:rFonts w:cs="Arial"/>
          <w:spacing w:val="0"/>
          <w:sz w:val="22"/>
          <w:szCs w:val="22"/>
          <w:highlight w:val="yellow"/>
          <w:u w:val="single"/>
        </w:rPr>
      </w:pPr>
    </w:p>
    <w:p w:rsidR="00EA57F2" w:rsidRPr="00C37FC7" w:rsidRDefault="00EA57F2" w:rsidP="00EA57F2">
      <w:pPr>
        <w:tabs>
          <w:tab w:val="left" w:pos="0"/>
        </w:tabs>
        <w:spacing w:after="0" w:line="240" w:lineRule="auto"/>
        <w:rPr>
          <w:rFonts w:ascii="Arial" w:hAnsi="Arial" w:cs="Arial"/>
          <w:b/>
        </w:rPr>
      </w:pPr>
      <w:r w:rsidRPr="00C37FC7">
        <w:rPr>
          <w:rFonts w:ascii="Arial" w:hAnsi="Arial" w:cs="Arial"/>
          <w:b/>
        </w:rPr>
        <w:t>Discussion</w:t>
      </w:r>
    </w:p>
    <w:p w:rsidR="004D1BAB" w:rsidRDefault="0006685C" w:rsidP="00EA57F2">
      <w:pPr>
        <w:pStyle w:val="MessageHeader"/>
        <w:tabs>
          <w:tab w:val="left" w:pos="900"/>
        </w:tabs>
        <w:spacing w:after="0" w:line="240" w:lineRule="auto"/>
        <w:ind w:left="0" w:firstLine="0"/>
        <w:rPr>
          <w:rFonts w:cs="Arial"/>
          <w:i/>
          <w:spacing w:val="0"/>
          <w:sz w:val="22"/>
          <w:szCs w:val="24"/>
        </w:rPr>
      </w:pPr>
      <w:r>
        <w:rPr>
          <w:rFonts w:cs="Arial"/>
          <w:i/>
          <w:spacing w:val="0"/>
          <w:sz w:val="22"/>
          <w:szCs w:val="24"/>
        </w:rPr>
        <w:lastRenderedPageBreak/>
        <w:t>Without language defining what specific services are included in a category</w:t>
      </w:r>
      <w:r w:rsidR="00A341A8">
        <w:rPr>
          <w:rFonts w:cs="Arial"/>
          <w:i/>
          <w:spacing w:val="0"/>
          <w:sz w:val="22"/>
          <w:szCs w:val="24"/>
        </w:rPr>
        <w:t>,</w:t>
      </w:r>
      <w:r>
        <w:rPr>
          <w:rFonts w:cs="Arial"/>
          <w:i/>
          <w:spacing w:val="0"/>
          <w:sz w:val="22"/>
          <w:szCs w:val="24"/>
        </w:rPr>
        <w:t xml:space="preserve"> disputes will arise regarding the appropriate billing code and payment amount.  Likewise, it is important to define a “Qualified Physical Therapy Assistant” and “Qualified Occupational Therapist Assistant” to </w:t>
      </w:r>
      <w:r w:rsidR="003D6DE4">
        <w:rPr>
          <w:rFonts w:cs="Arial"/>
          <w:i/>
          <w:spacing w:val="0"/>
          <w:sz w:val="22"/>
          <w:szCs w:val="24"/>
        </w:rPr>
        <w:t xml:space="preserve">eliminate </w:t>
      </w:r>
      <w:r w:rsidR="007C117D">
        <w:rPr>
          <w:rFonts w:cs="Arial"/>
          <w:i/>
          <w:spacing w:val="0"/>
          <w:sz w:val="22"/>
          <w:szCs w:val="24"/>
        </w:rPr>
        <w:t xml:space="preserve">the potential for </w:t>
      </w:r>
      <w:r>
        <w:rPr>
          <w:rFonts w:cs="Arial"/>
          <w:i/>
          <w:spacing w:val="0"/>
          <w:sz w:val="22"/>
          <w:szCs w:val="24"/>
        </w:rPr>
        <w:t xml:space="preserve">an unlicensed </w:t>
      </w:r>
      <w:r w:rsidR="007C117D">
        <w:rPr>
          <w:rFonts w:cs="Arial"/>
          <w:i/>
          <w:spacing w:val="0"/>
          <w:sz w:val="22"/>
          <w:szCs w:val="24"/>
        </w:rPr>
        <w:t>individual</w:t>
      </w:r>
      <w:r>
        <w:rPr>
          <w:rFonts w:cs="Arial"/>
          <w:i/>
          <w:spacing w:val="0"/>
          <w:sz w:val="22"/>
          <w:szCs w:val="24"/>
        </w:rPr>
        <w:t xml:space="preserve"> providing and billing for th</w:t>
      </w:r>
      <w:r w:rsidR="007C117D">
        <w:rPr>
          <w:rFonts w:cs="Arial"/>
          <w:i/>
          <w:spacing w:val="0"/>
          <w:sz w:val="22"/>
          <w:szCs w:val="24"/>
        </w:rPr>
        <w:t>ose</w:t>
      </w:r>
      <w:r>
        <w:rPr>
          <w:rFonts w:cs="Arial"/>
          <w:i/>
          <w:spacing w:val="0"/>
          <w:sz w:val="22"/>
          <w:szCs w:val="24"/>
        </w:rPr>
        <w:t xml:space="preserve"> in-home services.  </w:t>
      </w:r>
      <w:r w:rsidR="00EA57F2">
        <w:rPr>
          <w:rFonts w:cs="Arial"/>
          <w:i/>
          <w:spacing w:val="0"/>
          <w:sz w:val="22"/>
          <w:szCs w:val="24"/>
        </w:rPr>
        <w:t>The Institute recommends the addition of these definitions to clarify these terms that are included</w:t>
      </w:r>
      <w:r w:rsidR="004D1BAB">
        <w:rPr>
          <w:rFonts w:cs="Arial"/>
          <w:i/>
          <w:spacing w:val="0"/>
          <w:sz w:val="22"/>
          <w:szCs w:val="24"/>
        </w:rPr>
        <w:t>, or recommended to be re-included</w:t>
      </w:r>
      <w:r w:rsidR="00EA57F2">
        <w:rPr>
          <w:rFonts w:cs="Arial"/>
          <w:i/>
          <w:spacing w:val="0"/>
          <w:sz w:val="22"/>
          <w:szCs w:val="24"/>
        </w:rPr>
        <w:t xml:space="preserve"> </w:t>
      </w:r>
      <w:r>
        <w:rPr>
          <w:rFonts w:cs="Arial"/>
          <w:i/>
          <w:spacing w:val="0"/>
          <w:sz w:val="22"/>
          <w:szCs w:val="24"/>
        </w:rPr>
        <w:t xml:space="preserve">in </w:t>
      </w:r>
      <w:r w:rsidR="00EA57F2">
        <w:rPr>
          <w:rFonts w:cs="Arial"/>
          <w:i/>
          <w:spacing w:val="0"/>
          <w:sz w:val="22"/>
          <w:szCs w:val="24"/>
        </w:rPr>
        <w:t>the coded descriptions in §9789.93 Table A.  Addition of the recommended definitions requires resequencing of the original terms.</w:t>
      </w:r>
    </w:p>
    <w:p w:rsidR="004D1BAB" w:rsidRDefault="004D1BAB" w:rsidP="00EA57F2">
      <w:pPr>
        <w:pStyle w:val="MessageHeader"/>
        <w:tabs>
          <w:tab w:val="left" w:pos="900"/>
        </w:tabs>
        <w:spacing w:after="0" w:line="240" w:lineRule="auto"/>
        <w:ind w:left="0" w:firstLine="0"/>
        <w:rPr>
          <w:rFonts w:cs="Arial"/>
          <w:i/>
          <w:spacing w:val="0"/>
          <w:sz w:val="22"/>
          <w:szCs w:val="24"/>
        </w:rPr>
      </w:pPr>
    </w:p>
    <w:p w:rsidR="00EA57F2" w:rsidRPr="00D346BE" w:rsidRDefault="004D1BAB" w:rsidP="00EA57F2">
      <w:pPr>
        <w:pStyle w:val="MessageHeader"/>
        <w:tabs>
          <w:tab w:val="left" w:pos="900"/>
        </w:tabs>
        <w:spacing w:after="0" w:line="240" w:lineRule="auto"/>
        <w:ind w:left="0" w:firstLine="0"/>
        <w:rPr>
          <w:rFonts w:cs="Arial"/>
          <w:i/>
          <w:spacing w:val="0"/>
          <w:sz w:val="22"/>
          <w:szCs w:val="24"/>
        </w:rPr>
      </w:pPr>
      <w:r>
        <w:rPr>
          <w:rFonts w:cs="Arial"/>
          <w:i/>
          <w:spacing w:val="0"/>
          <w:sz w:val="22"/>
          <w:szCs w:val="24"/>
        </w:rPr>
        <w:t>The definition of “home health aide” was found in Health and Safety Code Section 1727(c).</w:t>
      </w:r>
      <w:r w:rsidR="004A2472">
        <w:rPr>
          <w:rFonts w:cs="Arial"/>
          <w:i/>
          <w:spacing w:val="0"/>
          <w:sz w:val="22"/>
          <w:szCs w:val="24"/>
        </w:rPr>
        <w:t xml:space="preserve"> </w:t>
      </w:r>
    </w:p>
    <w:p w:rsidR="00EA57F2" w:rsidRDefault="00EA57F2" w:rsidP="00EA57F2">
      <w:pPr>
        <w:tabs>
          <w:tab w:val="left" w:pos="0"/>
        </w:tabs>
        <w:spacing w:after="0" w:line="240" w:lineRule="auto"/>
        <w:rPr>
          <w:rFonts w:ascii="Arial" w:hAnsi="Arial" w:cs="Arial"/>
          <w:b/>
        </w:rPr>
      </w:pPr>
    </w:p>
    <w:p w:rsidR="00AB4EBF" w:rsidRDefault="00AB4EBF" w:rsidP="002A23FA">
      <w:pPr>
        <w:tabs>
          <w:tab w:val="left" w:pos="0"/>
        </w:tabs>
        <w:spacing w:after="0" w:line="240" w:lineRule="auto"/>
        <w:rPr>
          <w:rFonts w:ascii="Arial" w:hAnsi="Arial" w:cs="Arial"/>
          <w:i/>
          <w:szCs w:val="24"/>
        </w:rPr>
      </w:pPr>
    </w:p>
    <w:p w:rsidR="00D75F6C" w:rsidRDefault="00204821" w:rsidP="00D75F6C">
      <w:pPr>
        <w:rPr>
          <w:rFonts w:ascii="Arial" w:hAnsi="Arial" w:cs="Arial"/>
          <w:b/>
        </w:rPr>
      </w:pPr>
      <w:r w:rsidRPr="00CF446D">
        <w:rPr>
          <w:rFonts w:ascii="Arial" w:hAnsi="Arial" w:cs="Arial"/>
          <w:b/>
          <w:szCs w:val="24"/>
        </w:rPr>
        <w:t>§ 9789.91 Home Health Care – Eligibility for Services &amp; Payment</w:t>
      </w:r>
    </w:p>
    <w:p w:rsidR="004960FD" w:rsidRDefault="00D75F6C" w:rsidP="00CF446D">
      <w:pPr>
        <w:spacing w:after="0"/>
        <w:rPr>
          <w:rFonts w:ascii="Arial" w:eastAsia="Times New Roman" w:hAnsi="Arial" w:cs="Arial"/>
        </w:rPr>
      </w:pPr>
      <w:r w:rsidRPr="00E1479E">
        <w:rPr>
          <w:rFonts w:ascii="Arial" w:hAnsi="Arial" w:cs="Arial"/>
          <w:b/>
        </w:rPr>
        <w:t>Recommendation</w:t>
      </w:r>
    </w:p>
    <w:p w:rsidR="009E2CCB" w:rsidRPr="00E1479E" w:rsidRDefault="00633025" w:rsidP="009E2CCB">
      <w:pPr>
        <w:rPr>
          <w:rFonts w:ascii="Arial" w:hAnsi="Arial" w:cs="Arial"/>
        </w:rPr>
      </w:pPr>
      <w:r>
        <w:rPr>
          <w:rFonts w:ascii="Arial" w:eastAsia="Times New Roman" w:hAnsi="Arial" w:cs="Arial"/>
        </w:rPr>
        <w:t>(d)</w:t>
      </w:r>
      <w:r w:rsidR="009E2CCB" w:rsidRPr="00CF446D">
        <w:rPr>
          <w:rFonts w:ascii="Arial" w:eastAsia="Times New Roman" w:hAnsi="Arial" w:cs="Arial"/>
        </w:rPr>
        <w:t>(</w:t>
      </w:r>
      <w:r w:rsidR="009E2CCB" w:rsidRPr="009E2CCB">
        <w:rPr>
          <w:rFonts w:ascii="Arial" w:eastAsia="Times New Roman" w:hAnsi="Arial" w:cs="Arial"/>
        </w:rPr>
        <w:t xml:space="preserve">2) </w:t>
      </w:r>
      <w:r w:rsidR="009E2CCB" w:rsidRPr="00CF446D">
        <w:rPr>
          <w:rFonts w:ascii="Arial" w:eastAsia="Times New Roman" w:hAnsi="Arial" w:cs="Arial"/>
          <w:strike/>
          <w:highlight w:val="yellow"/>
        </w:rPr>
        <w:t>Either an employer or its</w:t>
      </w:r>
      <w:r w:rsidR="009E2CCB" w:rsidRPr="00CF446D">
        <w:rPr>
          <w:rFonts w:ascii="Arial" w:eastAsia="Times New Roman" w:hAnsi="Arial" w:cs="Arial"/>
          <w:highlight w:val="yellow"/>
        </w:rPr>
        <w:t xml:space="preserve"> </w:t>
      </w:r>
      <w:r w:rsidR="006B0CCB" w:rsidRPr="00CF446D">
        <w:rPr>
          <w:rFonts w:ascii="Arial" w:eastAsia="Times New Roman" w:hAnsi="Arial" w:cs="Arial"/>
          <w:highlight w:val="yellow"/>
          <w:u w:val="single"/>
        </w:rPr>
        <w:t>A</w:t>
      </w:r>
      <w:r>
        <w:rPr>
          <w:rFonts w:ascii="Arial" w:eastAsia="Times New Roman" w:hAnsi="Arial" w:cs="Arial"/>
          <w:u w:val="single"/>
        </w:rPr>
        <w:t xml:space="preserve"> </w:t>
      </w:r>
      <w:r w:rsidR="009E2CCB" w:rsidRPr="009E2CCB">
        <w:rPr>
          <w:rFonts w:ascii="Arial" w:eastAsia="Times New Roman" w:hAnsi="Arial" w:cs="Arial"/>
        </w:rPr>
        <w:t xml:space="preserve">claims administrator and an injured worker </w:t>
      </w:r>
      <w:r w:rsidR="009E2CCB" w:rsidRPr="006D4679">
        <w:rPr>
          <w:rFonts w:ascii="Arial" w:eastAsia="Times New Roman" w:hAnsi="Arial" w:cs="Arial"/>
        </w:rPr>
        <w:t xml:space="preserve">may </w:t>
      </w:r>
      <w:r w:rsidR="009E2CCB" w:rsidRPr="009E2CCB">
        <w:rPr>
          <w:rFonts w:ascii="Arial" w:eastAsia="Times New Roman" w:hAnsi="Arial" w:cs="Arial"/>
        </w:rPr>
        <w:t>agree that the injured worker may use, and the employer or</w:t>
      </w:r>
      <w:r w:rsidR="009E2CCB" w:rsidRPr="00CF446D">
        <w:rPr>
          <w:rFonts w:ascii="Arial" w:eastAsia="Times New Roman" w:hAnsi="Arial" w:cs="Arial"/>
        </w:rPr>
        <w:t xml:space="preserve"> </w:t>
      </w:r>
      <w:r w:rsidR="009E2CCB" w:rsidRPr="009E2CCB">
        <w:rPr>
          <w:rFonts w:ascii="Arial" w:eastAsia="Times New Roman" w:hAnsi="Arial" w:cs="Arial"/>
          <w:strike/>
          <w:highlight w:val="yellow"/>
        </w:rPr>
        <w:t xml:space="preserve">its </w:t>
      </w:r>
      <w:r w:rsidR="009E2CCB" w:rsidRPr="00AD791C">
        <w:rPr>
          <w:rFonts w:ascii="Arial" w:eastAsia="Times New Roman" w:hAnsi="Arial" w:cs="Arial"/>
          <w:strike/>
          <w:highlight w:val="yellow"/>
        </w:rPr>
        <w:t xml:space="preserve">insurer </w:t>
      </w:r>
      <w:r w:rsidR="009E2CCB" w:rsidRPr="00AD791C">
        <w:rPr>
          <w:rFonts w:ascii="Arial" w:eastAsia="Times New Roman" w:hAnsi="Arial" w:cs="Arial"/>
          <w:highlight w:val="yellow"/>
          <w:u w:val="single"/>
        </w:rPr>
        <w:t xml:space="preserve">claims </w:t>
      </w:r>
      <w:r w:rsidR="009E2CCB" w:rsidRPr="009E2CCB">
        <w:rPr>
          <w:rFonts w:ascii="Arial" w:eastAsia="Times New Roman" w:hAnsi="Arial" w:cs="Arial"/>
          <w:highlight w:val="yellow"/>
          <w:u w:val="single"/>
        </w:rPr>
        <w:t>administrator</w:t>
      </w:r>
      <w:r w:rsidR="009E2CCB" w:rsidRPr="009E2CCB">
        <w:rPr>
          <w:rFonts w:ascii="Arial" w:eastAsia="Times New Roman" w:hAnsi="Arial" w:cs="Arial"/>
        </w:rPr>
        <w:t xml:space="preserve"> will pay for</w:t>
      </w:r>
      <w:r w:rsidR="009E2CCB" w:rsidRPr="00A64BAE">
        <w:rPr>
          <w:rFonts w:ascii="Arial" w:eastAsia="Times New Roman" w:hAnsi="Arial" w:cs="Arial"/>
        </w:rPr>
        <w:t>,</w:t>
      </w:r>
      <w:r w:rsidR="009E2CCB" w:rsidRPr="009E2CCB">
        <w:rPr>
          <w:rFonts w:ascii="Arial" w:eastAsia="Times New Roman" w:hAnsi="Arial" w:cs="Arial"/>
        </w:rPr>
        <w:t xml:space="preserve"> </w:t>
      </w:r>
      <w:r w:rsidR="004960FD" w:rsidRPr="009E2CCB">
        <w:rPr>
          <w:rFonts w:ascii="Arial" w:eastAsia="Times New Roman" w:hAnsi="Arial" w:cs="Arial"/>
        </w:rPr>
        <w:t>a</w:t>
      </w:r>
      <w:r w:rsidR="004960FD" w:rsidRPr="00CF446D">
        <w:rPr>
          <w:rFonts w:ascii="Arial" w:eastAsia="Times New Roman" w:hAnsi="Arial" w:cs="Arial"/>
        </w:rPr>
        <w:t xml:space="preserve"> </w:t>
      </w:r>
      <w:r w:rsidR="009E2CCB" w:rsidRPr="009E2CCB">
        <w:rPr>
          <w:rFonts w:ascii="Arial" w:eastAsia="Times New Roman" w:hAnsi="Arial" w:cs="Arial"/>
        </w:rPr>
        <w:t xml:space="preserve">provider who is not employed by a home care organization or home health care agency and who may be a family member of the injured worker, if the individual has the necessary skills to provide the home health care services </w:t>
      </w:r>
      <w:r w:rsidR="009E2CCB" w:rsidRPr="006B1CBA">
        <w:rPr>
          <w:rFonts w:ascii="Arial" w:eastAsia="Times New Roman" w:hAnsi="Arial" w:cs="Arial"/>
        </w:rPr>
        <w:t>required</w:t>
      </w:r>
      <w:r w:rsidR="009E2CCB" w:rsidRPr="009E2CCB">
        <w:rPr>
          <w:rFonts w:ascii="Arial" w:eastAsia="Times New Roman" w:hAnsi="Arial" w:cs="Arial"/>
        </w:rPr>
        <w:t xml:space="preserve"> by the injured worker.  </w:t>
      </w:r>
      <w:r w:rsidR="009E2CCB" w:rsidRPr="00E1479E">
        <w:rPr>
          <w:rFonts w:ascii="Arial" w:eastAsia="Times New Roman" w:hAnsi="Arial" w:cs="Arial"/>
        </w:rPr>
        <w:t>In such cases, payment shall be provided directly to the injured worker, who will be responsible for paying the provider</w:t>
      </w:r>
      <w:r w:rsidR="007E2CD7">
        <w:rPr>
          <w:rFonts w:ascii="Arial" w:eastAsia="Times New Roman" w:hAnsi="Arial" w:cs="Arial"/>
        </w:rPr>
        <w:t xml:space="preserve"> </w:t>
      </w:r>
      <w:r w:rsidR="000777F7" w:rsidRPr="007E2CD7">
        <w:rPr>
          <w:rFonts w:ascii="Arial" w:eastAsia="Times New Roman" w:hAnsi="Arial" w:cs="Arial"/>
          <w:highlight w:val="yellow"/>
          <w:u w:val="single"/>
        </w:rPr>
        <w:t>and no employment relationship shall be established between the employer or its claims administrator and the provider</w:t>
      </w:r>
      <w:r w:rsidR="009E2CCB" w:rsidRPr="007E2CD7">
        <w:rPr>
          <w:rFonts w:ascii="Arial" w:eastAsia="Times New Roman" w:hAnsi="Arial" w:cs="Arial"/>
        </w:rPr>
        <w:t>.</w:t>
      </w:r>
      <w:r w:rsidR="009E2CCB" w:rsidRPr="00E1479E">
        <w:rPr>
          <w:rFonts w:ascii="Arial" w:eastAsia="Times New Roman" w:hAnsi="Arial" w:cs="Arial"/>
        </w:rPr>
        <w:t xml:space="preserve">  </w:t>
      </w:r>
      <w:r w:rsidR="009E2CCB" w:rsidRPr="00E1479E">
        <w:rPr>
          <w:rFonts w:ascii="Arial" w:hAnsi="Arial" w:cs="Arial"/>
        </w:rPr>
        <w:t xml:space="preserve">Such agreements may also include a provision to waive the requirements of subsection 9789.92(c).  </w:t>
      </w:r>
    </w:p>
    <w:p w:rsidR="00F93EAC" w:rsidRPr="00F93EAC" w:rsidRDefault="00F93EAC" w:rsidP="002A23FA">
      <w:pPr>
        <w:tabs>
          <w:tab w:val="left" w:pos="0"/>
        </w:tabs>
        <w:spacing w:after="0" w:line="240" w:lineRule="auto"/>
        <w:rPr>
          <w:rFonts w:ascii="Arial" w:hAnsi="Arial" w:cs="Arial"/>
          <w:b/>
        </w:rPr>
      </w:pPr>
      <w:r w:rsidRPr="00F93EAC">
        <w:rPr>
          <w:rFonts w:ascii="Arial" w:hAnsi="Arial" w:cs="Arial"/>
          <w:b/>
        </w:rPr>
        <w:t>Discussion</w:t>
      </w:r>
    </w:p>
    <w:p w:rsidR="006D4679" w:rsidRDefault="006B0CCB" w:rsidP="002A23FA">
      <w:pPr>
        <w:tabs>
          <w:tab w:val="left" w:pos="0"/>
        </w:tabs>
        <w:spacing w:after="0" w:line="240" w:lineRule="auto"/>
        <w:rPr>
          <w:rFonts w:ascii="Arial" w:hAnsi="Arial" w:cs="Arial"/>
          <w:i/>
        </w:rPr>
      </w:pPr>
      <w:r>
        <w:rPr>
          <w:rFonts w:ascii="Arial" w:hAnsi="Arial" w:cs="Arial"/>
          <w:i/>
        </w:rPr>
        <w:t>The employer’s claims administrator is responsible for administering a claim and therefore it is the claims administrator that may make this agreement, and not the employer</w:t>
      </w:r>
      <w:r w:rsidR="006D4679">
        <w:rPr>
          <w:rFonts w:ascii="Arial" w:hAnsi="Arial" w:cs="Arial"/>
          <w:i/>
        </w:rPr>
        <w:t>.</w:t>
      </w:r>
      <w:r>
        <w:rPr>
          <w:rFonts w:ascii="Arial" w:hAnsi="Arial" w:cs="Arial"/>
          <w:i/>
        </w:rPr>
        <w:t xml:space="preserve"> </w:t>
      </w:r>
    </w:p>
    <w:p w:rsidR="006D4679" w:rsidRDefault="006D4679" w:rsidP="002A23FA">
      <w:pPr>
        <w:tabs>
          <w:tab w:val="left" w:pos="0"/>
        </w:tabs>
        <w:spacing w:after="0" w:line="240" w:lineRule="auto"/>
        <w:rPr>
          <w:rFonts w:ascii="Arial" w:hAnsi="Arial" w:cs="Arial"/>
          <w:i/>
        </w:rPr>
      </w:pPr>
    </w:p>
    <w:p w:rsidR="00F93EAC" w:rsidRDefault="00F36CBA" w:rsidP="002A23FA">
      <w:pPr>
        <w:tabs>
          <w:tab w:val="left" w:pos="0"/>
        </w:tabs>
        <w:spacing w:after="0" w:line="240" w:lineRule="auto"/>
        <w:rPr>
          <w:rFonts w:ascii="Arial" w:hAnsi="Arial" w:cs="Arial"/>
          <w:i/>
        </w:rPr>
      </w:pPr>
      <w:r>
        <w:rPr>
          <w:rFonts w:ascii="Arial" w:hAnsi="Arial" w:cs="Arial"/>
          <w:i/>
        </w:rPr>
        <w:t xml:space="preserve">The use of </w:t>
      </w:r>
      <w:r w:rsidR="00EF4DBC">
        <w:rPr>
          <w:rFonts w:ascii="Arial" w:hAnsi="Arial" w:cs="Arial"/>
          <w:i/>
        </w:rPr>
        <w:t>“</w:t>
      </w:r>
      <w:r>
        <w:rPr>
          <w:rFonts w:ascii="Arial" w:hAnsi="Arial" w:cs="Arial"/>
          <w:i/>
        </w:rPr>
        <w:t>claims administrator</w:t>
      </w:r>
      <w:r w:rsidR="00A64BAE">
        <w:rPr>
          <w:rFonts w:ascii="Arial" w:hAnsi="Arial" w:cs="Arial"/>
          <w:i/>
        </w:rPr>
        <w:t>”</w:t>
      </w:r>
      <w:r>
        <w:rPr>
          <w:rFonts w:ascii="Arial" w:hAnsi="Arial" w:cs="Arial"/>
          <w:i/>
        </w:rPr>
        <w:t xml:space="preserve"> instead of </w:t>
      </w:r>
      <w:r w:rsidR="00EF4DBC">
        <w:rPr>
          <w:rFonts w:ascii="Arial" w:hAnsi="Arial" w:cs="Arial"/>
          <w:i/>
        </w:rPr>
        <w:t>“</w:t>
      </w:r>
      <w:r>
        <w:rPr>
          <w:rFonts w:ascii="Arial" w:hAnsi="Arial" w:cs="Arial"/>
          <w:i/>
        </w:rPr>
        <w:t>insurer</w:t>
      </w:r>
      <w:r w:rsidR="00EF4DBC">
        <w:rPr>
          <w:rFonts w:ascii="Arial" w:hAnsi="Arial" w:cs="Arial"/>
          <w:i/>
        </w:rPr>
        <w:t>”</w:t>
      </w:r>
      <w:r>
        <w:rPr>
          <w:rFonts w:ascii="Arial" w:hAnsi="Arial" w:cs="Arial"/>
          <w:i/>
        </w:rPr>
        <w:t xml:space="preserve"> allows for consistency throughout the Home Health Care Fee Schedule regulations </w:t>
      </w:r>
      <w:r w:rsidR="007957D4">
        <w:rPr>
          <w:rFonts w:ascii="Arial" w:hAnsi="Arial" w:cs="Arial"/>
          <w:i/>
        </w:rPr>
        <w:t xml:space="preserve">and eliminates </w:t>
      </w:r>
      <w:r>
        <w:rPr>
          <w:rFonts w:ascii="Arial" w:hAnsi="Arial" w:cs="Arial"/>
          <w:i/>
        </w:rPr>
        <w:t xml:space="preserve">confusion </w:t>
      </w:r>
      <w:r w:rsidR="00751DC2">
        <w:rPr>
          <w:rFonts w:ascii="Arial" w:hAnsi="Arial" w:cs="Arial"/>
          <w:i/>
        </w:rPr>
        <w:t xml:space="preserve">that could result from </w:t>
      </w:r>
      <w:r w:rsidR="007957D4">
        <w:rPr>
          <w:rFonts w:ascii="Arial" w:hAnsi="Arial" w:cs="Arial"/>
          <w:i/>
        </w:rPr>
        <w:t xml:space="preserve">differences in </w:t>
      </w:r>
      <w:r>
        <w:rPr>
          <w:rFonts w:ascii="Arial" w:hAnsi="Arial" w:cs="Arial"/>
          <w:i/>
        </w:rPr>
        <w:t>descriptive terminology.</w:t>
      </w:r>
    </w:p>
    <w:p w:rsidR="001D15D6" w:rsidRDefault="001D15D6" w:rsidP="002A23FA">
      <w:pPr>
        <w:tabs>
          <w:tab w:val="left" w:pos="0"/>
        </w:tabs>
        <w:spacing w:after="0" w:line="240" w:lineRule="auto"/>
        <w:rPr>
          <w:rFonts w:ascii="Arial" w:hAnsi="Arial" w:cs="Arial"/>
          <w:i/>
        </w:rPr>
      </w:pPr>
    </w:p>
    <w:p w:rsidR="001D15D6" w:rsidRDefault="00167F32" w:rsidP="002A23FA">
      <w:pPr>
        <w:tabs>
          <w:tab w:val="left" w:pos="0"/>
        </w:tabs>
        <w:spacing w:after="0" w:line="240" w:lineRule="auto"/>
        <w:rPr>
          <w:rFonts w:ascii="Arial" w:hAnsi="Arial" w:cs="Arial"/>
          <w:i/>
        </w:rPr>
      </w:pPr>
      <w:r>
        <w:rPr>
          <w:rFonts w:ascii="Arial" w:hAnsi="Arial" w:cs="Arial"/>
          <w:i/>
        </w:rPr>
        <w:t>Payment of wages is a primary</w:t>
      </w:r>
      <w:r w:rsidR="0060541D">
        <w:rPr>
          <w:rFonts w:ascii="Arial" w:hAnsi="Arial" w:cs="Arial"/>
          <w:i/>
        </w:rPr>
        <w:t xml:space="preserve"> --</w:t>
      </w:r>
      <w:r>
        <w:rPr>
          <w:rFonts w:ascii="Arial" w:hAnsi="Arial" w:cs="Arial"/>
          <w:i/>
        </w:rPr>
        <w:t xml:space="preserve"> but not the sole</w:t>
      </w:r>
      <w:r w:rsidR="0060541D">
        <w:rPr>
          <w:rFonts w:ascii="Arial" w:hAnsi="Arial" w:cs="Arial"/>
          <w:i/>
        </w:rPr>
        <w:t xml:space="preserve"> --</w:t>
      </w:r>
      <w:r>
        <w:rPr>
          <w:rFonts w:ascii="Arial" w:hAnsi="Arial" w:cs="Arial"/>
          <w:i/>
        </w:rPr>
        <w:t xml:space="preserve"> indicator of an employment relationship. </w:t>
      </w:r>
      <w:r w:rsidR="001D15D6">
        <w:rPr>
          <w:rFonts w:ascii="Arial" w:hAnsi="Arial" w:cs="Arial"/>
          <w:i/>
        </w:rPr>
        <w:t>Language indicating a specific exemption from employment is necessary in order to document the intent of the regulation</w:t>
      </w:r>
      <w:r>
        <w:rPr>
          <w:rFonts w:ascii="Arial" w:hAnsi="Arial" w:cs="Arial"/>
          <w:i/>
        </w:rPr>
        <w:t xml:space="preserve"> and avoid frictional costs</w:t>
      </w:r>
      <w:r w:rsidR="001D15D6">
        <w:rPr>
          <w:rFonts w:ascii="Arial" w:hAnsi="Arial" w:cs="Arial"/>
          <w:i/>
        </w:rPr>
        <w:t xml:space="preserve">. </w:t>
      </w:r>
    </w:p>
    <w:p w:rsidR="00F36CBA" w:rsidRDefault="00F36CBA" w:rsidP="002A23FA">
      <w:pPr>
        <w:tabs>
          <w:tab w:val="left" w:pos="0"/>
        </w:tabs>
        <w:spacing w:after="0" w:line="240" w:lineRule="auto"/>
        <w:rPr>
          <w:rFonts w:ascii="Arial" w:hAnsi="Arial" w:cs="Arial"/>
          <w:i/>
        </w:rPr>
      </w:pPr>
    </w:p>
    <w:p w:rsidR="00633025" w:rsidRDefault="00633025" w:rsidP="002A23FA">
      <w:pPr>
        <w:tabs>
          <w:tab w:val="left" w:pos="0"/>
        </w:tabs>
        <w:spacing w:after="0" w:line="240" w:lineRule="auto"/>
        <w:rPr>
          <w:rFonts w:ascii="Arial" w:hAnsi="Arial" w:cs="Arial"/>
          <w:i/>
        </w:rPr>
      </w:pPr>
    </w:p>
    <w:p w:rsidR="00D44A43" w:rsidRDefault="00D44A43" w:rsidP="00D44A43">
      <w:pPr>
        <w:pStyle w:val="NoSpacing"/>
        <w:rPr>
          <w:rFonts w:ascii="Arial" w:eastAsia="Times New Roman" w:hAnsi="Arial" w:cs="Arial"/>
          <w:b/>
        </w:rPr>
      </w:pPr>
      <w:r w:rsidRPr="00FE5EDA">
        <w:rPr>
          <w:rFonts w:ascii="Arial" w:eastAsia="Times New Roman" w:hAnsi="Arial" w:cs="Arial"/>
          <w:b/>
        </w:rPr>
        <w:t xml:space="preserve">§ 9789.92 Home Health Care – Payment Methodology &amp; Billing Rules </w:t>
      </w:r>
    </w:p>
    <w:p w:rsidR="00633025" w:rsidRDefault="00633025" w:rsidP="00D44A43">
      <w:pPr>
        <w:pStyle w:val="NoSpacing"/>
        <w:rPr>
          <w:rFonts w:ascii="Arial" w:eastAsia="Times New Roman" w:hAnsi="Arial" w:cs="Arial"/>
          <w:b/>
        </w:rPr>
      </w:pPr>
    </w:p>
    <w:p w:rsidR="00633025" w:rsidRPr="00FE5EDA" w:rsidRDefault="00633025" w:rsidP="00D44A43">
      <w:pPr>
        <w:pStyle w:val="NoSpacing"/>
        <w:rPr>
          <w:rFonts w:ascii="Arial" w:eastAsia="Times New Roman" w:hAnsi="Arial" w:cs="Arial"/>
          <w:b/>
        </w:rPr>
      </w:pPr>
      <w:r w:rsidRPr="00FE5EDA">
        <w:rPr>
          <w:rFonts w:ascii="Arial" w:eastAsia="Times New Roman" w:hAnsi="Arial" w:cs="Arial"/>
          <w:b/>
        </w:rPr>
        <w:t>Recommendation</w:t>
      </w:r>
    </w:p>
    <w:p w:rsidR="00314A13" w:rsidRDefault="00314A13" w:rsidP="00D44A43">
      <w:pPr>
        <w:pStyle w:val="NoSpacing"/>
        <w:rPr>
          <w:rFonts w:ascii="Arial" w:eastAsia="Times New Roman" w:hAnsi="Arial" w:cs="Arial"/>
        </w:rPr>
      </w:pPr>
      <w:r w:rsidRPr="00A77F3C">
        <w:rPr>
          <w:rFonts w:ascii="Times New Roman" w:hAnsi="Times New Roman"/>
          <w:sz w:val="24"/>
          <w:szCs w:val="24"/>
        </w:rPr>
        <w:t xml:space="preserve">(a) The maximum allowable amounts (MAA) for home health care services are set forth in section 9789.93, Table A.  </w:t>
      </w:r>
      <w:r w:rsidRPr="00CF446D">
        <w:rPr>
          <w:rFonts w:ascii="Times New Roman" w:hAnsi="Times New Roman"/>
          <w:strike/>
          <w:sz w:val="24"/>
          <w:szCs w:val="24"/>
          <w:highlight w:val="yellow"/>
        </w:rPr>
        <w:t>In no case shall the MAA be lower than the then-current state or local minimum wage, whichever is higher.</w:t>
      </w:r>
      <w:r w:rsidRPr="00A77F3C">
        <w:rPr>
          <w:rFonts w:ascii="Times New Roman" w:hAnsi="Times New Roman"/>
          <w:sz w:val="24"/>
          <w:szCs w:val="24"/>
        </w:rPr>
        <w:t xml:space="preserve">     </w:t>
      </w:r>
    </w:p>
    <w:p w:rsidR="00314A13" w:rsidRDefault="00314A13" w:rsidP="00D44A43">
      <w:pPr>
        <w:pStyle w:val="NoSpacing"/>
        <w:rPr>
          <w:rFonts w:ascii="Arial" w:eastAsia="Times New Roman" w:hAnsi="Arial" w:cs="Arial"/>
        </w:rPr>
      </w:pPr>
    </w:p>
    <w:p w:rsidR="00314A13" w:rsidRPr="00FE5EDA" w:rsidRDefault="00314A13" w:rsidP="00314A13">
      <w:pPr>
        <w:pStyle w:val="NoSpacing"/>
        <w:rPr>
          <w:rFonts w:ascii="Arial" w:eastAsia="Times New Roman" w:hAnsi="Arial" w:cs="Arial"/>
          <w:b/>
        </w:rPr>
      </w:pPr>
      <w:r w:rsidRPr="00FE5EDA">
        <w:rPr>
          <w:rFonts w:ascii="Arial" w:eastAsia="Times New Roman" w:hAnsi="Arial" w:cs="Arial"/>
          <w:b/>
        </w:rPr>
        <w:lastRenderedPageBreak/>
        <w:t>Discussion</w:t>
      </w:r>
    </w:p>
    <w:p w:rsidR="00314A13" w:rsidRPr="00CF446D" w:rsidRDefault="00047280" w:rsidP="00D44A43">
      <w:pPr>
        <w:pStyle w:val="NoSpacing"/>
        <w:rPr>
          <w:rFonts w:ascii="Arial" w:eastAsia="Times New Roman" w:hAnsi="Arial" w:cs="Arial"/>
          <w:i/>
        </w:rPr>
      </w:pPr>
      <w:r w:rsidRPr="00CF446D">
        <w:rPr>
          <w:rFonts w:ascii="Arial" w:eastAsia="Times New Roman" w:hAnsi="Arial" w:cs="Arial"/>
          <w:i/>
        </w:rPr>
        <w:t xml:space="preserve">While the Institute agrees that it is appropriate to assure that MAA should not </w:t>
      </w:r>
      <w:r>
        <w:rPr>
          <w:rFonts w:ascii="Arial" w:eastAsia="Times New Roman" w:hAnsi="Arial" w:cs="Arial"/>
          <w:i/>
        </w:rPr>
        <w:t>fall below</w:t>
      </w:r>
      <w:r w:rsidRPr="00CF446D">
        <w:rPr>
          <w:rFonts w:ascii="Arial" w:eastAsia="Times New Roman" w:hAnsi="Arial" w:cs="Arial"/>
          <w:i/>
        </w:rPr>
        <w:t xml:space="preserve"> current state or local minimum wage</w:t>
      </w:r>
      <w:r>
        <w:rPr>
          <w:rFonts w:ascii="Arial" w:eastAsia="Times New Roman" w:hAnsi="Arial" w:cs="Arial"/>
          <w:i/>
        </w:rPr>
        <w:t>s</w:t>
      </w:r>
      <w:r w:rsidRPr="00CF446D">
        <w:rPr>
          <w:rFonts w:ascii="Arial" w:eastAsia="Times New Roman" w:hAnsi="Arial" w:cs="Arial"/>
          <w:i/>
        </w:rPr>
        <w:t xml:space="preserve">, we believe that the </w:t>
      </w:r>
      <w:r>
        <w:rPr>
          <w:rFonts w:ascii="Arial" w:eastAsia="Times New Roman" w:hAnsi="Arial" w:cs="Arial"/>
          <w:i/>
        </w:rPr>
        <w:t xml:space="preserve">Administrative Director </w:t>
      </w:r>
      <w:r w:rsidRPr="00CF446D">
        <w:rPr>
          <w:rFonts w:ascii="Arial" w:eastAsia="Times New Roman" w:hAnsi="Arial" w:cs="Arial"/>
          <w:i/>
        </w:rPr>
        <w:t xml:space="preserve">must revise the maximum allowable amounts in Table A to </w:t>
      </w:r>
      <w:r w:rsidR="002508E8">
        <w:rPr>
          <w:rFonts w:ascii="Arial" w:eastAsia="Times New Roman" w:hAnsi="Arial" w:cs="Arial"/>
          <w:i/>
        </w:rPr>
        <w:t>accomplish this</w:t>
      </w:r>
      <w:r>
        <w:rPr>
          <w:rFonts w:ascii="Arial" w:eastAsia="Times New Roman" w:hAnsi="Arial" w:cs="Arial"/>
          <w:i/>
        </w:rPr>
        <w:t xml:space="preserve"> as </w:t>
      </w:r>
      <w:r w:rsidR="004F08D2">
        <w:rPr>
          <w:rFonts w:ascii="Arial" w:eastAsia="Times New Roman" w:hAnsi="Arial" w:cs="Arial"/>
          <w:i/>
        </w:rPr>
        <w:t>there is no authority to adopt uncertain future rates.</w:t>
      </w:r>
    </w:p>
    <w:p w:rsidR="00047280" w:rsidRDefault="00047280" w:rsidP="00D44A43">
      <w:pPr>
        <w:pStyle w:val="NoSpacing"/>
        <w:rPr>
          <w:rFonts w:ascii="Arial" w:eastAsia="Times New Roman" w:hAnsi="Arial" w:cs="Arial"/>
        </w:rPr>
      </w:pPr>
    </w:p>
    <w:p w:rsidR="00314A13" w:rsidRPr="00CF446D" w:rsidRDefault="00314A13" w:rsidP="00D44A43">
      <w:pPr>
        <w:pStyle w:val="NoSpacing"/>
        <w:rPr>
          <w:rFonts w:ascii="Arial" w:eastAsia="Times New Roman" w:hAnsi="Arial" w:cs="Arial"/>
          <w:b/>
        </w:rPr>
      </w:pPr>
      <w:r w:rsidRPr="00FE5EDA">
        <w:rPr>
          <w:rFonts w:ascii="Arial" w:eastAsia="Times New Roman" w:hAnsi="Arial" w:cs="Arial"/>
          <w:b/>
        </w:rPr>
        <w:t>Recommendation</w:t>
      </w:r>
    </w:p>
    <w:p w:rsidR="00D44A43" w:rsidRDefault="00FE5EDA" w:rsidP="00D44A43">
      <w:pPr>
        <w:pStyle w:val="NoSpacing"/>
        <w:rPr>
          <w:rFonts w:ascii="Arial" w:eastAsia="Times New Roman" w:hAnsi="Arial" w:cs="Arial"/>
        </w:rPr>
      </w:pPr>
      <w:r>
        <w:rPr>
          <w:rFonts w:ascii="Arial" w:eastAsia="Times New Roman" w:hAnsi="Arial" w:cs="Arial"/>
        </w:rPr>
        <w:t>(</w:t>
      </w:r>
      <w:r w:rsidR="00D44A43" w:rsidRPr="00FE5EDA">
        <w:rPr>
          <w:rFonts w:ascii="Arial" w:eastAsia="Times New Roman" w:hAnsi="Arial" w:cs="Arial"/>
        </w:rPr>
        <w:t xml:space="preserve">c) </w:t>
      </w:r>
      <w:r w:rsidRPr="006D4679">
        <w:rPr>
          <w:rFonts w:ascii="Arial" w:eastAsia="Times New Roman" w:hAnsi="Arial" w:cs="Arial"/>
          <w:highlight w:val="yellow"/>
          <w:u w:val="single"/>
        </w:rPr>
        <w:t>With the exception of services paid to the injured worker under the provisions of §9789.91(d)(2),</w:t>
      </w:r>
      <w:r w:rsidRPr="006D4679">
        <w:rPr>
          <w:rFonts w:ascii="Arial" w:eastAsia="Times New Roman" w:hAnsi="Arial" w:cs="Arial"/>
        </w:rPr>
        <w:t xml:space="preserve"> h</w:t>
      </w:r>
      <w:r w:rsidR="00D44A43" w:rsidRPr="00FE5EDA">
        <w:rPr>
          <w:rFonts w:ascii="Arial" w:eastAsia="Times New Roman" w:hAnsi="Arial" w:cs="Arial"/>
        </w:rPr>
        <w:t>ome health care services shall be billed and paid for under the timeframes and rules set forth in Labor Code sections 4603.2 and 4603.3, and the rules for medical treatment billing and payment set forth in Article 5.5.0, sections 9792.5.0 through 9792.5.15, of Title 8 of the California Code of Regulations.</w:t>
      </w:r>
    </w:p>
    <w:p w:rsidR="00FE5EDA" w:rsidRDefault="00FE5EDA" w:rsidP="00D44A43">
      <w:pPr>
        <w:pStyle w:val="NoSpacing"/>
        <w:rPr>
          <w:rFonts w:ascii="Arial" w:eastAsia="Times New Roman" w:hAnsi="Arial" w:cs="Arial"/>
        </w:rPr>
      </w:pPr>
    </w:p>
    <w:p w:rsidR="00FE5EDA" w:rsidRPr="00FE5EDA" w:rsidRDefault="00FE5EDA" w:rsidP="00D44A43">
      <w:pPr>
        <w:pStyle w:val="NoSpacing"/>
        <w:rPr>
          <w:rFonts w:ascii="Arial" w:eastAsia="Times New Roman" w:hAnsi="Arial" w:cs="Arial"/>
          <w:b/>
        </w:rPr>
      </w:pPr>
      <w:r w:rsidRPr="00FE5EDA">
        <w:rPr>
          <w:rFonts w:ascii="Arial" w:eastAsia="Times New Roman" w:hAnsi="Arial" w:cs="Arial"/>
          <w:b/>
        </w:rPr>
        <w:t>Discussion</w:t>
      </w:r>
    </w:p>
    <w:p w:rsidR="00D44A43" w:rsidRPr="004B493B" w:rsidRDefault="0098611C" w:rsidP="002A23FA">
      <w:pPr>
        <w:tabs>
          <w:tab w:val="left" w:pos="0"/>
        </w:tabs>
        <w:spacing w:after="0" w:line="240" w:lineRule="auto"/>
        <w:rPr>
          <w:rFonts w:ascii="Arial" w:hAnsi="Arial" w:cs="Arial"/>
          <w:i/>
        </w:rPr>
      </w:pPr>
      <w:r w:rsidRPr="004B493B">
        <w:rPr>
          <w:rFonts w:ascii="Arial" w:hAnsi="Arial" w:cs="Arial"/>
          <w:i/>
        </w:rPr>
        <w:t xml:space="preserve">An agreement entered into </w:t>
      </w:r>
      <w:r w:rsidR="00B840C7">
        <w:rPr>
          <w:rFonts w:ascii="Arial" w:hAnsi="Arial" w:cs="Arial"/>
          <w:i/>
        </w:rPr>
        <w:t>by</w:t>
      </w:r>
      <w:r w:rsidR="00B840C7" w:rsidRPr="004B493B">
        <w:rPr>
          <w:rFonts w:ascii="Arial" w:hAnsi="Arial" w:cs="Arial"/>
          <w:i/>
        </w:rPr>
        <w:t xml:space="preserve"> </w:t>
      </w:r>
      <w:r w:rsidRPr="004B493B">
        <w:rPr>
          <w:rFonts w:ascii="Arial" w:hAnsi="Arial" w:cs="Arial"/>
          <w:i/>
        </w:rPr>
        <w:t xml:space="preserve">an employer or its claims administrator to pay the injured </w:t>
      </w:r>
      <w:r w:rsidR="0060541D">
        <w:rPr>
          <w:rFonts w:ascii="Arial" w:hAnsi="Arial" w:cs="Arial"/>
          <w:i/>
        </w:rPr>
        <w:t xml:space="preserve">worker </w:t>
      </w:r>
      <w:r w:rsidRPr="004B493B">
        <w:rPr>
          <w:rFonts w:ascii="Arial" w:hAnsi="Arial" w:cs="Arial"/>
          <w:i/>
        </w:rPr>
        <w:t xml:space="preserve">directly for home health care services should not encumber the provider of services with </w:t>
      </w:r>
      <w:r w:rsidR="004B493B" w:rsidRPr="004B493B">
        <w:rPr>
          <w:rFonts w:ascii="Arial" w:hAnsi="Arial" w:cs="Arial"/>
          <w:i/>
        </w:rPr>
        <w:t>the requirement to bill using a completed CMS-1500 form</w:t>
      </w:r>
      <w:r w:rsidR="009F0318">
        <w:rPr>
          <w:rFonts w:ascii="Arial" w:hAnsi="Arial" w:cs="Arial"/>
          <w:i/>
        </w:rPr>
        <w:t>,</w:t>
      </w:r>
      <w:r w:rsidR="004B493B" w:rsidRPr="004B493B">
        <w:rPr>
          <w:rFonts w:ascii="Arial" w:hAnsi="Arial" w:cs="Arial"/>
          <w:i/>
        </w:rPr>
        <w:t xml:space="preserve"> nor for the claims administrator to create a formal Explanation of Review with all of the required data elements. </w:t>
      </w:r>
      <w:r w:rsidR="004B493B">
        <w:rPr>
          <w:rFonts w:ascii="Arial" w:hAnsi="Arial" w:cs="Arial"/>
          <w:i/>
        </w:rPr>
        <w:t>The terms of billing and payment should be included in the written agreement.</w:t>
      </w:r>
      <w:r w:rsidR="004B493B" w:rsidRPr="004B493B">
        <w:rPr>
          <w:rFonts w:ascii="Arial" w:hAnsi="Arial" w:cs="Arial"/>
          <w:i/>
        </w:rPr>
        <w:t xml:space="preserve"> </w:t>
      </w:r>
    </w:p>
    <w:p w:rsidR="00F36CBA" w:rsidRDefault="00F36CBA" w:rsidP="002A23FA">
      <w:pPr>
        <w:tabs>
          <w:tab w:val="left" w:pos="0"/>
        </w:tabs>
        <w:spacing w:after="0" w:line="240" w:lineRule="auto"/>
        <w:rPr>
          <w:rFonts w:ascii="Arial" w:hAnsi="Arial" w:cs="Arial"/>
          <w:i/>
        </w:rPr>
      </w:pPr>
    </w:p>
    <w:p w:rsidR="00D14C01" w:rsidRDefault="00D14C01" w:rsidP="00A25E42">
      <w:pPr>
        <w:tabs>
          <w:tab w:val="left" w:pos="0"/>
        </w:tabs>
        <w:spacing w:after="0" w:line="240" w:lineRule="auto"/>
        <w:rPr>
          <w:rFonts w:ascii="Arial" w:hAnsi="Arial" w:cs="Arial"/>
          <w:b/>
          <w:szCs w:val="24"/>
        </w:rPr>
      </w:pPr>
    </w:p>
    <w:p w:rsidR="00A25E42" w:rsidRPr="006418DA" w:rsidRDefault="00A25E42" w:rsidP="00A25E42">
      <w:pPr>
        <w:tabs>
          <w:tab w:val="left" w:pos="0"/>
        </w:tabs>
        <w:spacing w:after="0" w:line="240" w:lineRule="auto"/>
        <w:rPr>
          <w:rFonts w:ascii="Arial" w:hAnsi="Arial" w:cs="Arial"/>
          <w:b/>
        </w:rPr>
      </w:pPr>
      <w:r w:rsidRPr="006418DA">
        <w:rPr>
          <w:rFonts w:ascii="Arial" w:hAnsi="Arial" w:cs="Arial"/>
          <w:b/>
          <w:szCs w:val="24"/>
        </w:rPr>
        <w:t>§ 9789.9</w:t>
      </w:r>
      <w:r>
        <w:rPr>
          <w:rFonts w:ascii="Arial" w:hAnsi="Arial" w:cs="Arial"/>
          <w:b/>
          <w:szCs w:val="24"/>
        </w:rPr>
        <w:t>3</w:t>
      </w:r>
      <w:r w:rsidRPr="006418DA">
        <w:rPr>
          <w:rFonts w:ascii="Arial" w:hAnsi="Arial" w:cs="Arial"/>
          <w:b/>
          <w:szCs w:val="24"/>
        </w:rPr>
        <w:t xml:space="preserve"> </w:t>
      </w:r>
      <w:r>
        <w:rPr>
          <w:rFonts w:ascii="Arial" w:hAnsi="Arial" w:cs="Arial"/>
          <w:b/>
          <w:szCs w:val="24"/>
        </w:rPr>
        <w:t>Table A</w:t>
      </w:r>
    </w:p>
    <w:p w:rsidR="00A25E42" w:rsidRDefault="00A25E42" w:rsidP="00A25E42">
      <w:pPr>
        <w:tabs>
          <w:tab w:val="left" w:pos="0"/>
        </w:tabs>
        <w:spacing w:after="0" w:line="240" w:lineRule="auto"/>
        <w:rPr>
          <w:rFonts w:ascii="Arial" w:hAnsi="Arial" w:cs="Arial"/>
          <w:b/>
        </w:rPr>
      </w:pPr>
    </w:p>
    <w:p w:rsidR="0097303F" w:rsidRDefault="00A25E42" w:rsidP="00A25E42">
      <w:pPr>
        <w:pStyle w:val="MessageHeader"/>
        <w:tabs>
          <w:tab w:val="left" w:pos="900"/>
        </w:tabs>
        <w:spacing w:after="0" w:line="240" w:lineRule="auto"/>
        <w:ind w:left="0" w:firstLine="0"/>
        <w:rPr>
          <w:rFonts w:cs="Arial"/>
        </w:rPr>
      </w:pPr>
      <w:r w:rsidRPr="00E1479E">
        <w:rPr>
          <w:rFonts w:cs="Arial"/>
          <w:b/>
        </w:rPr>
        <w:t>Recommendation</w:t>
      </w:r>
      <w:r w:rsidR="002178ED">
        <w:rPr>
          <w:rFonts w:cs="Arial"/>
        </w:rPr>
        <w:t xml:space="preserve"> </w:t>
      </w:r>
    </w:p>
    <w:p w:rsidR="00515393" w:rsidRPr="00CF446D" w:rsidRDefault="002178ED" w:rsidP="00A25E42">
      <w:pPr>
        <w:pStyle w:val="MessageHeader"/>
        <w:tabs>
          <w:tab w:val="left" w:pos="900"/>
        </w:tabs>
        <w:spacing w:after="0" w:line="240" w:lineRule="auto"/>
        <w:ind w:left="0" w:firstLine="0"/>
        <w:rPr>
          <w:rFonts w:cs="Arial"/>
          <w:spacing w:val="0"/>
          <w:sz w:val="22"/>
          <w:szCs w:val="24"/>
          <w:u w:val="single"/>
        </w:rPr>
      </w:pPr>
      <w:r w:rsidRPr="00CF446D">
        <w:rPr>
          <w:rFonts w:cs="Arial"/>
          <w:highlight w:val="yellow"/>
          <w:u w:val="single"/>
        </w:rPr>
        <w:t>(</w:t>
      </w:r>
      <w:r w:rsidR="0097303F">
        <w:rPr>
          <w:rFonts w:cs="Arial"/>
          <w:highlight w:val="yellow"/>
          <w:u w:val="single"/>
        </w:rPr>
        <w:t>S</w:t>
      </w:r>
      <w:r w:rsidR="0097303F" w:rsidRPr="00CF446D">
        <w:rPr>
          <w:rFonts w:cs="Arial"/>
          <w:highlight w:val="yellow"/>
          <w:u w:val="single"/>
        </w:rPr>
        <w:t xml:space="preserve">ee </w:t>
      </w:r>
      <w:r w:rsidRPr="00CF446D">
        <w:rPr>
          <w:rFonts w:cs="Arial"/>
          <w:highlight w:val="yellow"/>
          <w:u w:val="single"/>
        </w:rPr>
        <w:t xml:space="preserve">attached </w:t>
      </w:r>
      <w:r w:rsidR="0006685C">
        <w:rPr>
          <w:rFonts w:cs="Arial"/>
          <w:highlight w:val="yellow"/>
          <w:u w:val="single"/>
        </w:rPr>
        <w:t>recommended version of</w:t>
      </w:r>
      <w:r w:rsidRPr="00CF446D">
        <w:rPr>
          <w:rFonts w:cs="Arial"/>
          <w:highlight w:val="yellow"/>
          <w:u w:val="single"/>
        </w:rPr>
        <w:t xml:space="preserve"> Table A</w:t>
      </w:r>
      <w:r w:rsidR="0097303F">
        <w:rPr>
          <w:rFonts w:cs="Arial"/>
          <w:highlight w:val="yellow"/>
          <w:u w:val="single"/>
        </w:rPr>
        <w:t>.</w:t>
      </w:r>
      <w:r w:rsidRPr="00CF446D">
        <w:rPr>
          <w:rFonts w:cs="Arial"/>
          <w:highlight w:val="yellow"/>
          <w:u w:val="single"/>
        </w:rPr>
        <w:t>)</w:t>
      </w:r>
    </w:p>
    <w:p w:rsidR="002178ED" w:rsidRDefault="002178ED" w:rsidP="00A64BAE">
      <w:pPr>
        <w:spacing w:after="0" w:line="240" w:lineRule="auto"/>
        <w:rPr>
          <w:rFonts w:cs="Arial"/>
          <w:szCs w:val="24"/>
        </w:rPr>
      </w:pPr>
    </w:p>
    <w:p w:rsidR="002178ED" w:rsidRPr="00FE5EDA" w:rsidRDefault="002178ED" w:rsidP="002178ED">
      <w:pPr>
        <w:pStyle w:val="NoSpacing"/>
        <w:rPr>
          <w:rFonts w:ascii="Arial" w:eastAsia="Times New Roman" w:hAnsi="Arial" w:cs="Arial"/>
          <w:b/>
        </w:rPr>
      </w:pPr>
      <w:r w:rsidRPr="00FE5EDA">
        <w:rPr>
          <w:rFonts w:ascii="Arial" w:eastAsia="Times New Roman" w:hAnsi="Arial" w:cs="Arial"/>
          <w:b/>
        </w:rPr>
        <w:t>Discussion</w:t>
      </w:r>
    </w:p>
    <w:p w:rsidR="002178ED" w:rsidRPr="007C117D" w:rsidRDefault="003B26B0" w:rsidP="007C117D">
      <w:pPr>
        <w:tabs>
          <w:tab w:val="left" w:pos="0"/>
        </w:tabs>
        <w:spacing w:after="0" w:line="240" w:lineRule="auto"/>
        <w:rPr>
          <w:rFonts w:ascii="Arial" w:hAnsi="Arial" w:cs="Arial"/>
          <w:i/>
        </w:rPr>
      </w:pPr>
      <w:r w:rsidRPr="007C117D">
        <w:rPr>
          <w:rFonts w:ascii="Arial" w:hAnsi="Arial" w:cs="Arial"/>
          <w:i/>
        </w:rPr>
        <w:t>Restoration of the “chore services” category in Table A is appropriate as a distinct option, available for injured workers who may not require the skill level necessary for “attendant care</w:t>
      </w:r>
      <w:r w:rsidR="009F0318" w:rsidRPr="007C117D">
        <w:rPr>
          <w:rFonts w:ascii="Arial" w:hAnsi="Arial" w:cs="Arial"/>
          <w:i/>
        </w:rPr>
        <w:t>,</w:t>
      </w:r>
      <w:r w:rsidRPr="007C117D">
        <w:rPr>
          <w:rFonts w:ascii="Arial" w:hAnsi="Arial" w:cs="Arial"/>
          <w:i/>
        </w:rPr>
        <w:t xml:space="preserve">” but who are nonetheless unable to perform basic household tasks.  </w:t>
      </w:r>
      <w:r w:rsidR="007A362F" w:rsidRPr="007C117D">
        <w:rPr>
          <w:rFonts w:ascii="Arial" w:hAnsi="Arial" w:cs="Arial"/>
          <w:i/>
        </w:rPr>
        <w:t>Definitions of</w:t>
      </w:r>
      <w:r w:rsidR="009829DF" w:rsidRPr="007C117D">
        <w:rPr>
          <w:rFonts w:ascii="Arial" w:hAnsi="Arial" w:cs="Arial"/>
          <w:i/>
        </w:rPr>
        <w:t xml:space="preserve"> “services of a</w:t>
      </w:r>
      <w:r w:rsidR="007A362F" w:rsidRPr="007C117D">
        <w:rPr>
          <w:rFonts w:ascii="Arial" w:hAnsi="Arial" w:cs="Arial"/>
          <w:i/>
        </w:rPr>
        <w:t xml:space="preserve"> home health aide,” </w:t>
      </w:r>
      <w:r w:rsidR="009829DF" w:rsidRPr="007C117D">
        <w:rPr>
          <w:rFonts w:ascii="Arial" w:hAnsi="Arial" w:cs="Arial"/>
          <w:i/>
        </w:rPr>
        <w:t>“chore services,” and “attendant care services” are necessary in order to provide sufficient instruction to stakeholders and to reduce frictional costs.</w:t>
      </w:r>
    </w:p>
    <w:p w:rsidR="00A25E42" w:rsidRDefault="00A25E42" w:rsidP="00FC43A2">
      <w:pPr>
        <w:pStyle w:val="MessageHeader"/>
        <w:tabs>
          <w:tab w:val="left" w:pos="900"/>
        </w:tabs>
        <w:spacing w:after="0" w:line="240" w:lineRule="auto"/>
        <w:ind w:left="0" w:firstLine="0"/>
        <w:rPr>
          <w:rFonts w:cs="Arial"/>
          <w:spacing w:val="0"/>
          <w:sz w:val="22"/>
          <w:szCs w:val="24"/>
        </w:rPr>
      </w:pPr>
    </w:p>
    <w:p w:rsidR="00FC43A2" w:rsidRPr="00334086" w:rsidRDefault="00FC43A2" w:rsidP="00FC43A2">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Sincerely, </w:t>
      </w:r>
    </w:p>
    <w:p w:rsidR="00241910" w:rsidRPr="00334086" w:rsidRDefault="00241910" w:rsidP="00D14C01">
      <w:pPr>
        <w:spacing w:after="0" w:line="240" w:lineRule="auto"/>
        <w:rPr>
          <w:rFonts w:ascii="Arial" w:hAnsi="Arial" w:cs="Arial"/>
          <w:szCs w:val="24"/>
        </w:rPr>
      </w:pPr>
    </w:p>
    <w:p w:rsidR="00A24617" w:rsidRPr="00334086" w:rsidRDefault="00A24617" w:rsidP="00711389">
      <w:pPr>
        <w:pStyle w:val="MessageHeader"/>
        <w:tabs>
          <w:tab w:val="left" w:pos="900"/>
        </w:tabs>
        <w:spacing w:after="0" w:line="240" w:lineRule="auto"/>
        <w:ind w:left="0" w:firstLine="0"/>
        <w:rPr>
          <w:rFonts w:cs="Arial"/>
          <w:spacing w:val="0"/>
          <w:sz w:val="22"/>
          <w:szCs w:val="24"/>
        </w:rPr>
      </w:pPr>
    </w:p>
    <w:p w:rsidR="00711389" w:rsidRPr="00334086" w:rsidRDefault="00334086" w:rsidP="00711389">
      <w:pPr>
        <w:pStyle w:val="MessageHeader"/>
        <w:tabs>
          <w:tab w:val="left" w:pos="900"/>
        </w:tabs>
        <w:spacing w:after="0" w:line="240" w:lineRule="auto"/>
        <w:ind w:left="0" w:firstLine="0"/>
        <w:rPr>
          <w:spacing w:val="0"/>
          <w:sz w:val="22"/>
          <w:szCs w:val="24"/>
        </w:rPr>
      </w:pPr>
      <w:r w:rsidRPr="00334086">
        <w:rPr>
          <w:spacing w:val="0"/>
          <w:sz w:val="22"/>
          <w:szCs w:val="24"/>
        </w:rPr>
        <w:t>Stacy Jones</w:t>
      </w:r>
      <w:r w:rsidRPr="00334086">
        <w:rPr>
          <w:spacing w:val="0"/>
          <w:sz w:val="22"/>
          <w:szCs w:val="24"/>
        </w:rPr>
        <w:tab/>
      </w:r>
      <w:r w:rsidRPr="00334086">
        <w:rPr>
          <w:spacing w:val="0"/>
          <w:sz w:val="22"/>
          <w:szCs w:val="24"/>
        </w:rPr>
        <w:tab/>
      </w:r>
      <w:r w:rsidRPr="00334086">
        <w:rPr>
          <w:spacing w:val="0"/>
          <w:sz w:val="22"/>
          <w:szCs w:val="24"/>
        </w:rPr>
        <w:tab/>
      </w:r>
      <w:r w:rsidRPr="00334086">
        <w:rPr>
          <w:spacing w:val="0"/>
          <w:sz w:val="22"/>
          <w:szCs w:val="24"/>
        </w:rPr>
        <w:tab/>
      </w:r>
      <w:r w:rsidRPr="00334086">
        <w:rPr>
          <w:spacing w:val="0"/>
          <w:sz w:val="22"/>
          <w:szCs w:val="24"/>
        </w:rPr>
        <w:tab/>
      </w:r>
      <w:r w:rsidR="00711389" w:rsidRPr="00334086">
        <w:rPr>
          <w:spacing w:val="0"/>
          <w:sz w:val="22"/>
          <w:szCs w:val="24"/>
        </w:rPr>
        <w:t>Brenda Ramirez</w:t>
      </w:r>
    </w:p>
    <w:p w:rsidR="00711389" w:rsidRPr="00334086" w:rsidRDefault="00334086" w:rsidP="00711389">
      <w:pPr>
        <w:pStyle w:val="MessageHeader"/>
        <w:tabs>
          <w:tab w:val="left" w:pos="900"/>
        </w:tabs>
        <w:spacing w:after="0" w:line="240" w:lineRule="auto"/>
        <w:ind w:left="0" w:firstLine="0"/>
        <w:rPr>
          <w:spacing w:val="0"/>
          <w:sz w:val="22"/>
          <w:szCs w:val="24"/>
        </w:rPr>
      </w:pPr>
      <w:r w:rsidRPr="00334086">
        <w:rPr>
          <w:sz w:val="22"/>
        </w:rPr>
        <w:t xml:space="preserve">Senior Research Associate </w:t>
      </w:r>
      <w:r w:rsidRPr="00334086">
        <w:rPr>
          <w:sz w:val="22"/>
        </w:rPr>
        <w:tab/>
      </w:r>
      <w:r w:rsidRPr="00334086">
        <w:rPr>
          <w:sz w:val="22"/>
        </w:rPr>
        <w:tab/>
      </w:r>
      <w:r w:rsidRPr="00334086">
        <w:rPr>
          <w:sz w:val="22"/>
        </w:rPr>
        <w:tab/>
      </w:r>
      <w:r w:rsidR="00711389" w:rsidRPr="00334086">
        <w:rPr>
          <w:spacing w:val="0"/>
          <w:sz w:val="22"/>
          <w:szCs w:val="24"/>
        </w:rPr>
        <w:t xml:space="preserve">Claims </w:t>
      </w:r>
      <w:r w:rsidRPr="00334086">
        <w:rPr>
          <w:spacing w:val="0"/>
          <w:sz w:val="22"/>
          <w:szCs w:val="24"/>
        </w:rPr>
        <w:t>&amp;</w:t>
      </w:r>
      <w:r w:rsidR="00711389" w:rsidRPr="00334086">
        <w:rPr>
          <w:spacing w:val="0"/>
          <w:sz w:val="22"/>
          <w:szCs w:val="24"/>
        </w:rPr>
        <w:t xml:space="preserve"> Medical Director</w:t>
      </w:r>
    </w:p>
    <w:p w:rsidR="002B1B3A" w:rsidRPr="00334086" w:rsidRDefault="002B1B3A" w:rsidP="00711389">
      <w:pPr>
        <w:pStyle w:val="MessageHeader"/>
        <w:tabs>
          <w:tab w:val="left" w:pos="900"/>
        </w:tabs>
        <w:spacing w:after="0" w:line="240" w:lineRule="auto"/>
        <w:ind w:left="0" w:firstLine="0"/>
        <w:rPr>
          <w:rFonts w:cs="Arial"/>
          <w:spacing w:val="0"/>
          <w:sz w:val="22"/>
          <w:szCs w:val="24"/>
        </w:rPr>
      </w:pPr>
    </w:p>
    <w:p w:rsidR="00711389" w:rsidRPr="00334086" w:rsidRDefault="00A24617"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BR</w:t>
      </w:r>
      <w:r w:rsidR="00711389" w:rsidRPr="00334086">
        <w:rPr>
          <w:rFonts w:cs="Arial"/>
          <w:spacing w:val="0"/>
          <w:sz w:val="22"/>
          <w:szCs w:val="24"/>
        </w:rPr>
        <w:t>/pm</w:t>
      </w:r>
    </w:p>
    <w:p w:rsidR="00711389" w:rsidRDefault="00D14C01" w:rsidP="00711389">
      <w:pPr>
        <w:pStyle w:val="MessageHeader"/>
        <w:tabs>
          <w:tab w:val="left" w:pos="900"/>
        </w:tabs>
        <w:spacing w:after="0" w:line="240" w:lineRule="auto"/>
        <w:ind w:left="0" w:firstLine="0"/>
        <w:rPr>
          <w:rFonts w:cs="Arial"/>
          <w:spacing w:val="0"/>
          <w:sz w:val="22"/>
          <w:szCs w:val="24"/>
        </w:rPr>
      </w:pPr>
      <w:r>
        <w:rPr>
          <w:rFonts w:cs="Arial"/>
          <w:spacing w:val="0"/>
          <w:sz w:val="22"/>
          <w:szCs w:val="24"/>
        </w:rPr>
        <w:t xml:space="preserve">Attachment </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cc:   Christine Baker, DIR Director</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w:t>
      </w:r>
      <w:r w:rsidR="00F2035A">
        <w:rPr>
          <w:rFonts w:cs="Arial"/>
          <w:spacing w:val="0"/>
          <w:sz w:val="22"/>
          <w:szCs w:val="24"/>
        </w:rPr>
        <w:t>George Parisotto</w:t>
      </w:r>
      <w:r w:rsidRPr="00334086">
        <w:rPr>
          <w:rFonts w:cs="Arial"/>
          <w:spacing w:val="0"/>
          <w:sz w:val="22"/>
          <w:szCs w:val="24"/>
        </w:rPr>
        <w:t xml:space="preserve">, </w:t>
      </w:r>
      <w:r w:rsidR="00F2035A">
        <w:rPr>
          <w:rFonts w:cs="Arial"/>
          <w:spacing w:val="0"/>
          <w:sz w:val="22"/>
          <w:szCs w:val="24"/>
        </w:rPr>
        <w:t xml:space="preserve">DWC Acting </w:t>
      </w:r>
      <w:r w:rsidRPr="00334086">
        <w:rPr>
          <w:rFonts w:cs="Arial"/>
          <w:spacing w:val="0"/>
          <w:sz w:val="22"/>
          <w:szCs w:val="24"/>
        </w:rPr>
        <w:t>Administrative Director</w:t>
      </w:r>
    </w:p>
    <w:p w:rsidR="00085F0E" w:rsidRPr="00334086" w:rsidRDefault="00F2035A" w:rsidP="00711389">
      <w:pPr>
        <w:pStyle w:val="MessageHeader"/>
        <w:tabs>
          <w:tab w:val="left" w:pos="900"/>
        </w:tabs>
        <w:spacing w:after="0" w:line="240" w:lineRule="auto"/>
        <w:ind w:left="0" w:firstLine="0"/>
        <w:rPr>
          <w:rFonts w:cs="Arial"/>
          <w:spacing w:val="0"/>
          <w:sz w:val="22"/>
          <w:szCs w:val="24"/>
        </w:rPr>
      </w:pPr>
      <w:r>
        <w:rPr>
          <w:rFonts w:cs="Arial"/>
          <w:spacing w:val="0"/>
          <w:sz w:val="22"/>
          <w:szCs w:val="24"/>
        </w:rPr>
        <w:t xml:space="preserve">        Dr. Raymond Meister</w:t>
      </w:r>
      <w:r w:rsidR="00085F0E" w:rsidRPr="00334086">
        <w:rPr>
          <w:rFonts w:cs="Arial"/>
          <w:spacing w:val="0"/>
          <w:sz w:val="22"/>
          <w:szCs w:val="24"/>
        </w:rPr>
        <w:t>, DWC Executive Medical Director</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CWCI Claims Committee</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CWCI Medical Care Committee</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CWCI Legal Committee </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CWCI Regular Members</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lastRenderedPageBreak/>
        <w:t xml:space="preserve">        CWCI Associate Members</w:t>
      </w:r>
    </w:p>
    <w:p w:rsidR="00711389" w:rsidRPr="005B67B1" w:rsidRDefault="00711389" w:rsidP="00AC24A1">
      <w:pPr>
        <w:spacing w:line="240" w:lineRule="auto"/>
        <w:rPr>
          <w:rFonts w:ascii="Arial" w:hAnsi="Arial" w:cs="Arial"/>
          <w:sz w:val="24"/>
          <w:szCs w:val="24"/>
        </w:rPr>
      </w:pPr>
    </w:p>
    <w:sectPr w:rsidR="00711389" w:rsidRPr="005B67B1" w:rsidSect="00FC2EE9">
      <w:footerReference w:type="default" r:id="rId10"/>
      <w:pgSz w:w="12240" w:h="15840"/>
      <w:pgMar w:top="99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9E0" w:rsidRDefault="00F249E0" w:rsidP="00287C33">
      <w:pPr>
        <w:spacing w:after="0" w:line="240" w:lineRule="auto"/>
      </w:pPr>
      <w:r>
        <w:separator/>
      </w:r>
    </w:p>
  </w:endnote>
  <w:endnote w:type="continuationSeparator" w:id="0">
    <w:p w:rsidR="00F249E0" w:rsidRDefault="00F249E0" w:rsidP="0028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704917"/>
      <w:docPartObj>
        <w:docPartGallery w:val="Page Numbers (Bottom of Page)"/>
        <w:docPartUnique/>
      </w:docPartObj>
    </w:sdtPr>
    <w:sdtEndPr>
      <w:rPr>
        <w:noProof/>
      </w:rPr>
    </w:sdtEndPr>
    <w:sdtContent>
      <w:p w:rsidR="00287C33" w:rsidRDefault="00287C33">
        <w:pPr>
          <w:pStyle w:val="Footer"/>
          <w:jc w:val="right"/>
        </w:pPr>
        <w:r>
          <w:fldChar w:fldCharType="begin"/>
        </w:r>
        <w:r>
          <w:instrText xml:space="preserve"> PAGE   \* MERGEFORMAT </w:instrText>
        </w:r>
        <w:r>
          <w:fldChar w:fldCharType="separate"/>
        </w:r>
        <w:r w:rsidR="00D24D1D">
          <w:rPr>
            <w:noProof/>
          </w:rPr>
          <w:t>1</w:t>
        </w:r>
        <w:r>
          <w:rPr>
            <w:noProof/>
          </w:rPr>
          <w:fldChar w:fldCharType="end"/>
        </w:r>
      </w:p>
    </w:sdtContent>
  </w:sdt>
  <w:p w:rsidR="00287C33" w:rsidRDefault="00287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9E0" w:rsidRDefault="00F249E0" w:rsidP="00287C33">
      <w:pPr>
        <w:spacing w:after="0" w:line="240" w:lineRule="auto"/>
      </w:pPr>
      <w:r>
        <w:separator/>
      </w:r>
    </w:p>
  </w:footnote>
  <w:footnote w:type="continuationSeparator" w:id="0">
    <w:p w:rsidR="00F249E0" w:rsidRDefault="00F249E0" w:rsidP="00287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B3F48"/>
    <w:multiLevelType w:val="hybridMultilevel"/>
    <w:tmpl w:val="ED7EBE4E"/>
    <w:lvl w:ilvl="0" w:tplc="2D0C8DBE">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9E3E26"/>
    <w:multiLevelType w:val="hybridMultilevel"/>
    <w:tmpl w:val="1338BBD2"/>
    <w:lvl w:ilvl="0" w:tplc="E24075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FC52CDF"/>
    <w:multiLevelType w:val="hybridMultilevel"/>
    <w:tmpl w:val="196CAD94"/>
    <w:lvl w:ilvl="0" w:tplc="4DC292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10"/>
    <w:rsid w:val="00001849"/>
    <w:rsid w:val="00003157"/>
    <w:rsid w:val="000216C7"/>
    <w:rsid w:val="0002207A"/>
    <w:rsid w:val="000309A2"/>
    <w:rsid w:val="0003150B"/>
    <w:rsid w:val="00047280"/>
    <w:rsid w:val="0006685C"/>
    <w:rsid w:val="00074AE9"/>
    <w:rsid w:val="00076E5D"/>
    <w:rsid w:val="000777F7"/>
    <w:rsid w:val="000836C4"/>
    <w:rsid w:val="00085F0E"/>
    <w:rsid w:val="00093D24"/>
    <w:rsid w:val="00096034"/>
    <w:rsid w:val="000A6F80"/>
    <w:rsid w:val="000B247B"/>
    <w:rsid w:val="00120D8D"/>
    <w:rsid w:val="0012381D"/>
    <w:rsid w:val="001533F6"/>
    <w:rsid w:val="00167F32"/>
    <w:rsid w:val="00181BFD"/>
    <w:rsid w:val="001A2FD1"/>
    <w:rsid w:val="001A7BD9"/>
    <w:rsid w:val="001B0009"/>
    <w:rsid w:val="001C420C"/>
    <w:rsid w:val="001D15D6"/>
    <w:rsid w:val="001D6002"/>
    <w:rsid w:val="00202054"/>
    <w:rsid w:val="00204821"/>
    <w:rsid w:val="00210118"/>
    <w:rsid w:val="002178ED"/>
    <w:rsid w:val="002237E1"/>
    <w:rsid w:val="002250BA"/>
    <w:rsid w:val="002413C2"/>
    <w:rsid w:val="0024171F"/>
    <w:rsid w:val="00241910"/>
    <w:rsid w:val="002508E8"/>
    <w:rsid w:val="002622F1"/>
    <w:rsid w:val="00265E81"/>
    <w:rsid w:val="002768DD"/>
    <w:rsid w:val="00287C33"/>
    <w:rsid w:val="00293563"/>
    <w:rsid w:val="002A23FA"/>
    <w:rsid w:val="002B1B3A"/>
    <w:rsid w:val="002D3684"/>
    <w:rsid w:val="00303027"/>
    <w:rsid w:val="0031020E"/>
    <w:rsid w:val="00314A13"/>
    <w:rsid w:val="0032028B"/>
    <w:rsid w:val="00334086"/>
    <w:rsid w:val="003345FF"/>
    <w:rsid w:val="00350776"/>
    <w:rsid w:val="0035766E"/>
    <w:rsid w:val="00377438"/>
    <w:rsid w:val="00382975"/>
    <w:rsid w:val="003959BD"/>
    <w:rsid w:val="003A04FC"/>
    <w:rsid w:val="003A07AB"/>
    <w:rsid w:val="003A242B"/>
    <w:rsid w:val="003B2558"/>
    <w:rsid w:val="003B26B0"/>
    <w:rsid w:val="003D2B46"/>
    <w:rsid w:val="003D3E03"/>
    <w:rsid w:val="003D6DE4"/>
    <w:rsid w:val="003E6089"/>
    <w:rsid w:val="003F7BFB"/>
    <w:rsid w:val="00422A90"/>
    <w:rsid w:val="004232F5"/>
    <w:rsid w:val="004379EA"/>
    <w:rsid w:val="00440427"/>
    <w:rsid w:val="00463E5C"/>
    <w:rsid w:val="004747D8"/>
    <w:rsid w:val="004903A8"/>
    <w:rsid w:val="004960FD"/>
    <w:rsid w:val="004A2472"/>
    <w:rsid w:val="004B493B"/>
    <w:rsid w:val="004C27F5"/>
    <w:rsid w:val="004D1BAB"/>
    <w:rsid w:val="004D76FB"/>
    <w:rsid w:val="004F08D2"/>
    <w:rsid w:val="00514951"/>
    <w:rsid w:val="00515393"/>
    <w:rsid w:val="00530AA2"/>
    <w:rsid w:val="0054093D"/>
    <w:rsid w:val="00556689"/>
    <w:rsid w:val="0055748A"/>
    <w:rsid w:val="00575E16"/>
    <w:rsid w:val="005B67B1"/>
    <w:rsid w:val="005C7E79"/>
    <w:rsid w:val="005E0385"/>
    <w:rsid w:val="005E6BF3"/>
    <w:rsid w:val="00600B0C"/>
    <w:rsid w:val="0060541D"/>
    <w:rsid w:val="006234AA"/>
    <w:rsid w:val="006329E9"/>
    <w:rsid w:val="00633025"/>
    <w:rsid w:val="00654689"/>
    <w:rsid w:val="00661B40"/>
    <w:rsid w:val="006713CF"/>
    <w:rsid w:val="00675072"/>
    <w:rsid w:val="006953F1"/>
    <w:rsid w:val="006A502D"/>
    <w:rsid w:val="006B0CCB"/>
    <w:rsid w:val="006B1CBA"/>
    <w:rsid w:val="006C0258"/>
    <w:rsid w:val="006C1DAE"/>
    <w:rsid w:val="006D4679"/>
    <w:rsid w:val="006E68A7"/>
    <w:rsid w:val="006F53EB"/>
    <w:rsid w:val="00711389"/>
    <w:rsid w:val="00741C1D"/>
    <w:rsid w:val="00751DC2"/>
    <w:rsid w:val="007537C8"/>
    <w:rsid w:val="00767FF1"/>
    <w:rsid w:val="007752B3"/>
    <w:rsid w:val="007876E0"/>
    <w:rsid w:val="00793BCA"/>
    <w:rsid w:val="007957D4"/>
    <w:rsid w:val="007A362F"/>
    <w:rsid w:val="007C117D"/>
    <w:rsid w:val="007C5519"/>
    <w:rsid w:val="007C6ED6"/>
    <w:rsid w:val="007D08B3"/>
    <w:rsid w:val="007E0BB7"/>
    <w:rsid w:val="007E2CD7"/>
    <w:rsid w:val="0080232C"/>
    <w:rsid w:val="008067B5"/>
    <w:rsid w:val="008068C5"/>
    <w:rsid w:val="00810D31"/>
    <w:rsid w:val="00811459"/>
    <w:rsid w:val="00814C57"/>
    <w:rsid w:val="00817824"/>
    <w:rsid w:val="00820328"/>
    <w:rsid w:val="00822C8A"/>
    <w:rsid w:val="008307E6"/>
    <w:rsid w:val="00874B3A"/>
    <w:rsid w:val="008A489B"/>
    <w:rsid w:val="008C6C93"/>
    <w:rsid w:val="008D03AA"/>
    <w:rsid w:val="008F244F"/>
    <w:rsid w:val="008F2D1E"/>
    <w:rsid w:val="00920871"/>
    <w:rsid w:val="009328B4"/>
    <w:rsid w:val="009430AB"/>
    <w:rsid w:val="00954C0A"/>
    <w:rsid w:val="00961910"/>
    <w:rsid w:val="009711F5"/>
    <w:rsid w:val="0097303F"/>
    <w:rsid w:val="009829DF"/>
    <w:rsid w:val="0098611C"/>
    <w:rsid w:val="009A0E3C"/>
    <w:rsid w:val="009A1707"/>
    <w:rsid w:val="009A6098"/>
    <w:rsid w:val="009D3F7B"/>
    <w:rsid w:val="009E14F5"/>
    <w:rsid w:val="009E2CCB"/>
    <w:rsid w:val="009F0318"/>
    <w:rsid w:val="00A03627"/>
    <w:rsid w:val="00A11083"/>
    <w:rsid w:val="00A24617"/>
    <w:rsid w:val="00A24ADE"/>
    <w:rsid w:val="00A25E42"/>
    <w:rsid w:val="00A341A8"/>
    <w:rsid w:val="00A34D42"/>
    <w:rsid w:val="00A45781"/>
    <w:rsid w:val="00A5291A"/>
    <w:rsid w:val="00A571C7"/>
    <w:rsid w:val="00A64878"/>
    <w:rsid w:val="00A64BAE"/>
    <w:rsid w:val="00A70D87"/>
    <w:rsid w:val="00A8693A"/>
    <w:rsid w:val="00AA0883"/>
    <w:rsid w:val="00AB4EBF"/>
    <w:rsid w:val="00AC24A1"/>
    <w:rsid w:val="00AC3626"/>
    <w:rsid w:val="00AC563B"/>
    <w:rsid w:val="00AD0B2D"/>
    <w:rsid w:val="00AD62D5"/>
    <w:rsid w:val="00AD791C"/>
    <w:rsid w:val="00AE67C6"/>
    <w:rsid w:val="00B22353"/>
    <w:rsid w:val="00B23348"/>
    <w:rsid w:val="00B23E8F"/>
    <w:rsid w:val="00B44E7A"/>
    <w:rsid w:val="00B473AF"/>
    <w:rsid w:val="00B63A37"/>
    <w:rsid w:val="00B840C7"/>
    <w:rsid w:val="00B86DD6"/>
    <w:rsid w:val="00B97285"/>
    <w:rsid w:val="00BA4F9B"/>
    <w:rsid w:val="00BA54DA"/>
    <w:rsid w:val="00BB4B91"/>
    <w:rsid w:val="00BD5D63"/>
    <w:rsid w:val="00BF3141"/>
    <w:rsid w:val="00C077F0"/>
    <w:rsid w:val="00C2576F"/>
    <w:rsid w:val="00C27649"/>
    <w:rsid w:val="00C33D00"/>
    <w:rsid w:val="00C37FC7"/>
    <w:rsid w:val="00C56702"/>
    <w:rsid w:val="00C57AF7"/>
    <w:rsid w:val="00C57F0D"/>
    <w:rsid w:val="00C86CB5"/>
    <w:rsid w:val="00CA6CEF"/>
    <w:rsid w:val="00CB0E20"/>
    <w:rsid w:val="00CD3F84"/>
    <w:rsid w:val="00CE2E45"/>
    <w:rsid w:val="00CF446D"/>
    <w:rsid w:val="00CF7206"/>
    <w:rsid w:val="00D13EE6"/>
    <w:rsid w:val="00D14C01"/>
    <w:rsid w:val="00D24D1D"/>
    <w:rsid w:val="00D346BE"/>
    <w:rsid w:val="00D44A43"/>
    <w:rsid w:val="00D50521"/>
    <w:rsid w:val="00D57BE7"/>
    <w:rsid w:val="00D606CD"/>
    <w:rsid w:val="00D71D9E"/>
    <w:rsid w:val="00D75F6C"/>
    <w:rsid w:val="00D763B9"/>
    <w:rsid w:val="00D95C1A"/>
    <w:rsid w:val="00DD409E"/>
    <w:rsid w:val="00DD511D"/>
    <w:rsid w:val="00DD6549"/>
    <w:rsid w:val="00E1479E"/>
    <w:rsid w:val="00E156FD"/>
    <w:rsid w:val="00E40533"/>
    <w:rsid w:val="00E5353C"/>
    <w:rsid w:val="00E57F67"/>
    <w:rsid w:val="00E65FA5"/>
    <w:rsid w:val="00E741E3"/>
    <w:rsid w:val="00E80835"/>
    <w:rsid w:val="00E81E3D"/>
    <w:rsid w:val="00EA57F2"/>
    <w:rsid w:val="00EB0580"/>
    <w:rsid w:val="00EC24FB"/>
    <w:rsid w:val="00EC416C"/>
    <w:rsid w:val="00EC7359"/>
    <w:rsid w:val="00ED1C92"/>
    <w:rsid w:val="00EF4DBC"/>
    <w:rsid w:val="00F013EE"/>
    <w:rsid w:val="00F07E8D"/>
    <w:rsid w:val="00F11F56"/>
    <w:rsid w:val="00F2035A"/>
    <w:rsid w:val="00F20D76"/>
    <w:rsid w:val="00F249E0"/>
    <w:rsid w:val="00F24F4B"/>
    <w:rsid w:val="00F27567"/>
    <w:rsid w:val="00F31908"/>
    <w:rsid w:val="00F32948"/>
    <w:rsid w:val="00F33478"/>
    <w:rsid w:val="00F36CBA"/>
    <w:rsid w:val="00F36DC7"/>
    <w:rsid w:val="00F8715E"/>
    <w:rsid w:val="00F93EAC"/>
    <w:rsid w:val="00F95EEA"/>
    <w:rsid w:val="00FB341F"/>
    <w:rsid w:val="00FB3C84"/>
    <w:rsid w:val="00FC2EE9"/>
    <w:rsid w:val="00FC43A2"/>
    <w:rsid w:val="00FE5EDA"/>
    <w:rsid w:val="00FE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1E22A6E-444C-4177-8FA7-8346FA12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910"/>
    <w:rPr>
      <w:color w:val="0000FF"/>
      <w:u w:val="single"/>
    </w:rPr>
  </w:style>
  <w:style w:type="paragraph" w:styleId="MessageHeader">
    <w:name w:val="Message Header"/>
    <w:basedOn w:val="BodyText"/>
    <w:link w:val="MessageHeaderChar"/>
    <w:rsid w:val="0002207A"/>
    <w:pPr>
      <w:keepLines/>
      <w:spacing w:line="180" w:lineRule="atLeast"/>
      <w:ind w:left="720" w:hanging="720"/>
    </w:pPr>
    <w:rPr>
      <w:rFonts w:ascii="Arial" w:eastAsia="Times New Roman" w:hAnsi="Arial" w:cs="Times New Roman"/>
      <w:color w:val="000000"/>
      <w:spacing w:val="-5"/>
      <w:sz w:val="24"/>
      <w:szCs w:val="20"/>
    </w:rPr>
  </w:style>
  <w:style w:type="character" w:customStyle="1" w:styleId="MessageHeaderChar">
    <w:name w:val="Message Header Char"/>
    <w:basedOn w:val="DefaultParagraphFont"/>
    <w:link w:val="MessageHeader"/>
    <w:rsid w:val="0002207A"/>
    <w:rPr>
      <w:rFonts w:ascii="Arial" w:eastAsia="Times New Roman" w:hAnsi="Arial" w:cs="Times New Roman"/>
      <w:color w:val="000000"/>
      <w:spacing w:val="-5"/>
      <w:sz w:val="24"/>
      <w:szCs w:val="20"/>
    </w:rPr>
  </w:style>
  <w:style w:type="character" w:customStyle="1" w:styleId="MessageHeaderLabel">
    <w:name w:val="Message Header Label"/>
    <w:rsid w:val="0002207A"/>
    <w:rPr>
      <w:rFonts w:ascii="Arial Black" w:hAnsi="Arial Black"/>
      <w:spacing w:val="-10"/>
      <w:sz w:val="18"/>
    </w:rPr>
  </w:style>
  <w:style w:type="paragraph" w:styleId="BodyText">
    <w:name w:val="Body Text"/>
    <w:basedOn w:val="Normal"/>
    <w:link w:val="BodyTextChar"/>
    <w:uiPriority w:val="99"/>
    <w:semiHidden/>
    <w:unhideWhenUsed/>
    <w:rsid w:val="0002207A"/>
    <w:pPr>
      <w:spacing w:after="120"/>
    </w:pPr>
  </w:style>
  <w:style w:type="character" w:customStyle="1" w:styleId="BodyTextChar">
    <w:name w:val="Body Text Char"/>
    <w:basedOn w:val="DefaultParagraphFont"/>
    <w:link w:val="BodyText"/>
    <w:uiPriority w:val="99"/>
    <w:semiHidden/>
    <w:rsid w:val="0002207A"/>
  </w:style>
  <w:style w:type="paragraph" w:styleId="BalloonText">
    <w:name w:val="Balloon Text"/>
    <w:basedOn w:val="Normal"/>
    <w:link w:val="BalloonTextChar"/>
    <w:uiPriority w:val="99"/>
    <w:semiHidden/>
    <w:unhideWhenUsed/>
    <w:rsid w:val="00022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7A"/>
    <w:rPr>
      <w:rFonts w:ascii="Tahoma" w:hAnsi="Tahoma" w:cs="Tahoma"/>
      <w:sz w:val="16"/>
      <w:szCs w:val="16"/>
    </w:rPr>
  </w:style>
  <w:style w:type="paragraph" w:styleId="PlainText">
    <w:name w:val="Plain Text"/>
    <w:basedOn w:val="Normal"/>
    <w:link w:val="PlainTextChar"/>
    <w:uiPriority w:val="99"/>
    <w:semiHidden/>
    <w:unhideWhenUsed/>
    <w:rsid w:val="001A7BD9"/>
    <w:pPr>
      <w:spacing w:after="0" w:line="240" w:lineRule="auto"/>
    </w:pPr>
    <w:rPr>
      <w:rFonts w:ascii="Calibri" w:eastAsiaTheme="minorHAnsi" w:hAnsi="Calibri"/>
      <w:sz w:val="28"/>
      <w:szCs w:val="21"/>
    </w:rPr>
  </w:style>
  <w:style w:type="character" w:customStyle="1" w:styleId="PlainTextChar">
    <w:name w:val="Plain Text Char"/>
    <w:basedOn w:val="DefaultParagraphFont"/>
    <w:link w:val="PlainText"/>
    <w:uiPriority w:val="99"/>
    <w:semiHidden/>
    <w:rsid w:val="001A7BD9"/>
    <w:rPr>
      <w:rFonts w:ascii="Calibri" w:eastAsiaTheme="minorHAnsi" w:hAnsi="Calibri"/>
      <w:sz w:val="28"/>
      <w:szCs w:val="21"/>
    </w:rPr>
  </w:style>
  <w:style w:type="paragraph" w:styleId="Header">
    <w:name w:val="header"/>
    <w:basedOn w:val="Normal"/>
    <w:link w:val="HeaderChar"/>
    <w:uiPriority w:val="99"/>
    <w:unhideWhenUsed/>
    <w:rsid w:val="0028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33"/>
  </w:style>
  <w:style w:type="paragraph" w:styleId="Footer">
    <w:name w:val="footer"/>
    <w:basedOn w:val="Normal"/>
    <w:link w:val="FooterChar"/>
    <w:uiPriority w:val="99"/>
    <w:unhideWhenUsed/>
    <w:rsid w:val="0028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33"/>
  </w:style>
  <w:style w:type="paragraph" w:styleId="ListParagraph">
    <w:name w:val="List Paragraph"/>
    <w:basedOn w:val="Normal"/>
    <w:uiPriority w:val="34"/>
    <w:qFormat/>
    <w:rsid w:val="00085F0E"/>
    <w:pPr>
      <w:ind w:left="720"/>
      <w:contextualSpacing/>
    </w:pPr>
  </w:style>
  <w:style w:type="paragraph" w:styleId="NoSpacing">
    <w:name w:val="No Spacing"/>
    <w:uiPriority w:val="1"/>
    <w:qFormat/>
    <w:rsid w:val="00D44A43"/>
    <w:pPr>
      <w:spacing w:after="0" w:line="240" w:lineRule="auto"/>
    </w:pPr>
  </w:style>
  <w:style w:type="character" w:styleId="CommentReference">
    <w:name w:val="annotation reference"/>
    <w:basedOn w:val="DefaultParagraphFont"/>
    <w:uiPriority w:val="99"/>
    <w:semiHidden/>
    <w:unhideWhenUsed/>
    <w:rsid w:val="008067B5"/>
    <w:rPr>
      <w:sz w:val="16"/>
      <w:szCs w:val="16"/>
    </w:rPr>
  </w:style>
  <w:style w:type="paragraph" w:styleId="CommentText">
    <w:name w:val="annotation text"/>
    <w:basedOn w:val="Normal"/>
    <w:link w:val="CommentTextChar"/>
    <w:uiPriority w:val="99"/>
    <w:semiHidden/>
    <w:unhideWhenUsed/>
    <w:rsid w:val="008067B5"/>
    <w:pPr>
      <w:spacing w:line="240" w:lineRule="auto"/>
    </w:pPr>
    <w:rPr>
      <w:sz w:val="20"/>
      <w:szCs w:val="20"/>
    </w:rPr>
  </w:style>
  <w:style w:type="character" w:customStyle="1" w:styleId="CommentTextChar">
    <w:name w:val="Comment Text Char"/>
    <w:basedOn w:val="DefaultParagraphFont"/>
    <w:link w:val="CommentText"/>
    <w:uiPriority w:val="99"/>
    <w:semiHidden/>
    <w:rsid w:val="008067B5"/>
    <w:rPr>
      <w:sz w:val="20"/>
      <w:szCs w:val="20"/>
    </w:rPr>
  </w:style>
  <w:style w:type="paragraph" w:styleId="CommentSubject">
    <w:name w:val="annotation subject"/>
    <w:basedOn w:val="CommentText"/>
    <w:next w:val="CommentText"/>
    <w:link w:val="CommentSubjectChar"/>
    <w:uiPriority w:val="99"/>
    <w:semiHidden/>
    <w:unhideWhenUsed/>
    <w:rsid w:val="008067B5"/>
    <w:rPr>
      <w:b/>
      <w:bCs/>
    </w:rPr>
  </w:style>
  <w:style w:type="character" w:customStyle="1" w:styleId="CommentSubjectChar">
    <w:name w:val="Comment Subject Char"/>
    <w:basedOn w:val="CommentTextChar"/>
    <w:link w:val="CommentSubject"/>
    <w:uiPriority w:val="99"/>
    <w:semiHidden/>
    <w:rsid w:val="008067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04811">
      <w:bodyDiv w:val="1"/>
      <w:marLeft w:val="0"/>
      <w:marRight w:val="0"/>
      <w:marTop w:val="0"/>
      <w:marBottom w:val="0"/>
      <w:divBdr>
        <w:top w:val="none" w:sz="0" w:space="0" w:color="auto"/>
        <w:left w:val="none" w:sz="0" w:space="0" w:color="auto"/>
        <w:bottom w:val="none" w:sz="0" w:space="0" w:color="auto"/>
        <w:right w:val="none" w:sz="0" w:space="0" w:color="auto"/>
      </w:divBdr>
    </w:div>
    <w:div w:id="846484766">
      <w:bodyDiv w:val="1"/>
      <w:marLeft w:val="0"/>
      <w:marRight w:val="0"/>
      <w:marTop w:val="0"/>
      <w:marBottom w:val="0"/>
      <w:divBdr>
        <w:top w:val="none" w:sz="0" w:space="0" w:color="auto"/>
        <w:left w:val="none" w:sz="0" w:space="0" w:color="auto"/>
        <w:bottom w:val="none" w:sz="0" w:space="0" w:color="auto"/>
        <w:right w:val="none" w:sz="0" w:space="0" w:color="auto"/>
      </w:divBdr>
    </w:div>
    <w:div w:id="856194445">
      <w:bodyDiv w:val="1"/>
      <w:marLeft w:val="0"/>
      <w:marRight w:val="0"/>
      <w:marTop w:val="0"/>
      <w:marBottom w:val="0"/>
      <w:divBdr>
        <w:top w:val="none" w:sz="0" w:space="0" w:color="auto"/>
        <w:left w:val="none" w:sz="0" w:space="0" w:color="auto"/>
        <w:bottom w:val="none" w:sz="0" w:space="0" w:color="auto"/>
        <w:right w:val="none" w:sz="0" w:space="0" w:color="auto"/>
      </w:divBdr>
    </w:div>
    <w:div w:id="1311204235">
      <w:bodyDiv w:val="1"/>
      <w:marLeft w:val="0"/>
      <w:marRight w:val="0"/>
      <w:marTop w:val="0"/>
      <w:marBottom w:val="0"/>
      <w:divBdr>
        <w:top w:val="none" w:sz="0" w:space="0" w:color="auto"/>
        <w:left w:val="none" w:sz="0" w:space="0" w:color="auto"/>
        <w:bottom w:val="none" w:sz="0" w:space="0" w:color="auto"/>
        <w:right w:val="none" w:sz="0" w:space="0" w:color="auto"/>
      </w:divBdr>
    </w:div>
    <w:div w:id="17120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wcrules@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347C74F-5C91-4667-95F4-228FACE9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1634</Words>
  <Characters>9317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Lam, bud</cp:lastModifiedBy>
  <cp:revision>2</cp:revision>
  <cp:lastPrinted>2016-06-08T22:44:00Z</cp:lastPrinted>
  <dcterms:created xsi:type="dcterms:W3CDTF">2016-06-08T23:28:00Z</dcterms:created>
  <dcterms:modified xsi:type="dcterms:W3CDTF">2016-06-08T23:28:00Z</dcterms:modified>
</cp:coreProperties>
</file>