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AB" w:rsidRDefault="00FE1AA8" w:rsidP="006B09AB">
      <w:pPr>
        <w:pStyle w:val="MessageHeader"/>
        <w:keepLines w:val="0"/>
        <w:spacing w:after="0" w:line="240" w:lineRule="auto"/>
        <w:jc w:val="center"/>
      </w:pPr>
      <w:r>
        <w:rPr>
          <w:noProof/>
        </w:rPr>
        <w:drawing>
          <wp:inline distT="0" distB="0" distL="0" distR="0">
            <wp:extent cx="77152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194B8A" w:rsidRDefault="00194B8A" w:rsidP="006B09AB">
      <w:pPr>
        <w:autoSpaceDE w:val="0"/>
        <w:autoSpaceDN w:val="0"/>
        <w:spacing w:after="0" w:line="240" w:lineRule="auto"/>
        <w:rPr>
          <w:rFonts w:ascii="Times New Roman" w:eastAsia="Times New Roman" w:hAnsi="Times New Roman"/>
          <w:color w:val="000000"/>
          <w:sz w:val="24"/>
          <w:szCs w:val="24"/>
        </w:rPr>
      </w:pPr>
    </w:p>
    <w:p w:rsidR="00D43BC2" w:rsidRPr="006B09AB" w:rsidRDefault="000F4946" w:rsidP="006B09A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September 14</w:t>
      </w:r>
      <w:r w:rsidR="005252AF">
        <w:rPr>
          <w:rFonts w:ascii="Times New Roman" w:eastAsia="Times New Roman" w:hAnsi="Times New Roman"/>
          <w:color w:val="000000"/>
          <w:sz w:val="24"/>
          <w:szCs w:val="24"/>
        </w:rPr>
        <w:t>, 2018</w:t>
      </w:r>
    </w:p>
    <w:p w:rsidR="00D43BC2" w:rsidRDefault="00D43BC2" w:rsidP="006B09AB">
      <w:pPr>
        <w:autoSpaceDE w:val="0"/>
        <w:autoSpaceDN w:val="0"/>
        <w:spacing w:after="0" w:line="240" w:lineRule="auto"/>
        <w:jc w:val="both"/>
        <w:rPr>
          <w:rFonts w:ascii="Times New Roman" w:eastAsia="Times New Roman" w:hAnsi="Times New Roman"/>
          <w:color w:val="000000"/>
          <w:sz w:val="24"/>
          <w:szCs w:val="24"/>
        </w:rPr>
      </w:pPr>
    </w:p>
    <w:p w:rsidR="002D699D" w:rsidRPr="006B09AB" w:rsidRDefault="002D699D" w:rsidP="006B09AB">
      <w:pPr>
        <w:autoSpaceDE w:val="0"/>
        <w:autoSpaceDN w:val="0"/>
        <w:spacing w:after="0" w:line="240" w:lineRule="auto"/>
        <w:jc w:val="both"/>
        <w:rPr>
          <w:rFonts w:ascii="Times New Roman" w:eastAsia="Times New Roman" w:hAnsi="Times New Roman"/>
          <w:color w:val="000000"/>
          <w:sz w:val="24"/>
          <w:szCs w:val="24"/>
        </w:rPr>
      </w:pPr>
    </w:p>
    <w:p w:rsidR="00D43BC2" w:rsidRPr="000E05C0" w:rsidRDefault="00D43BC2" w:rsidP="006B09AB">
      <w:pPr>
        <w:autoSpaceDE w:val="0"/>
        <w:autoSpaceDN w:val="0"/>
        <w:spacing w:after="0" w:line="240" w:lineRule="auto"/>
        <w:jc w:val="both"/>
        <w:rPr>
          <w:rFonts w:ascii="Times New Roman" w:eastAsia="Times New Roman" w:hAnsi="Times New Roman"/>
          <w:color w:val="000000"/>
          <w:sz w:val="24"/>
          <w:szCs w:val="24"/>
          <w:u w:val="single"/>
        </w:rPr>
      </w:pPr>
      <w:r w:rsidRPr="000E05C0">
        <w:rPr>
          <w:rFonts w:ascii="Times New Roman" w:eastAsia="Times New Roman" w:hAnsi="Times New Roman"/>
          <w:color w:val="000000"/>
          <w:sz w:val="24"/>
          <w:szCs w:val="24"/>
          <w:u w:val="single"/>
        </w:rPr>
        <w:t xml:space="preserve">VIA E-MAIL </w:t>
      </w:r>
      <w:proofErr w:type="gramStart"/>
      <w:r w:rsidRPr="000E05C0">
        <w:rPr>
          <w:rFonts w:ascii="Times New Roman" w:eastAsia="Times New Roman" w:hAnsi="Times New Roman"/>
          <w:color w:val="000000"/>
          <w:sz w:val="24"/>
          <w:szCs w:val="24"/>
          <w:u w:val="single"/>
        </w:rPr>
        <w:t xml:space="preserve">– </w:t>
      </w:r>
      <w:r w:rsidRPr="000E05C0">
        <w:rPr>
          <w:rFonts w:ascii="Times New Roman" w:eastAsia="Times New Roman" w:hAnsi="Times New Roman"/>
          <w:color w:val="000000"/>
          <w:sz w:val="24"/>
          <w:szCs w:val="24"/>
        </w:rPr>
        <w:t xml:space="preserve"> </w:t>
      </w:r>
      <w:proofErr w:type="gramEnd"/>
      <w:r w:rsidR="00EB288A">
        <w:fldChar w:fldCharType="begin"/>
      </w:r>
      <w:r w:rsidR="00EB288A">
        <w:instrText xml:space="preserve"> HYPERLINK "mailto:DWCrules@dir.ca.gov" </w:instrText>
      </w:r>
      <w:r w:rsidR="00EB288A">
        <w:fldChar w:fldCharType="separate"/>
      </w:r>
      <w:r w:rsidR="00AA5ACF" w:rsidRPr="00785271">
        <w:rPr>
          <w:rStyle w:val="Hyperlink"/>
          <w:rFonts w:ascii="Times New Roman" w:hAnsi="Times New Roman"/>
          <w:sz w:val="24"/>
          <w:szCs w:val="24"/>
        </w:rPr>
        <w:t>DWCrules@dir.ca.gov</w:t>
      </w:r>
      <w:r w:rsidR="00EB288A">
        <w:rPr>
          <w:rStyle w:val="Hyperlink"/>
          <w:rFonts w:ascii="Times New Roman" w:hAnsi="Times New Roman"/>
          <w:sz w:val="24"/>
          <w:szCs w:val="24"/>
        </w:rPr>
        <w:fldChar w:fldCharType="end"/>
      </w:r>
    </w:p>
    <w:p w:rsidR="00B57AEA" w:rsidRPr="006B09AB" w:rsidRDefault="00B57AEA" w:rsidP="006B09AB">
      <w:pPr>
        <w:autoSpaceDE w:val="0"/>
        <w:autoSpaceDN w:val="0"/>
        <w:spacing w:after="0" w:line="240" w:lineRule="auto"/>
        <w:jc w:val="both"/>
        <w:rPr>
          <w:rFonts w:ascii="Times New Roman" w:eastAsia="Times New Roman" w:hAnsi="Times New Roman"/>
          <w:color w:val="000000"/>
          <w:sz w:val="24"/>
          <w:szCs w:val="24"/>
        </w:rPr>
      </w:pP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Maureen Gray</w:t>
      </w:r>
      <w:r w:rsidR="00B57AEA">
        <w:rPr>
          <w:rFonts w:ascii="Times New Roman" w:eastAsia="Times New Roman" w:hAnsi="Times New Roman"/>
          <w:color w:val="000000"/>
          <w:sz w:val="24"/>
          <w:szCs w:val="24"/>
        </w:rPr>
        <w:t xml:space="preserve">, </w:t>
      </w:r>
      <w:r w:rsidRPr="006B09AB">
        <w:rPr>
          <w:rFonts w:ascii="Times New Roman" w:eastAsia="Times New Roman" w:hAnsi="Times New Roman"/>
          <w:color w:val="000000"/>
          <w:sz w:val="24"/>
          <w:szCs w:val="24"/>
        </w:rPr>
        <w:t xml:space="preserve">Regulations Coordinator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Division of Workers’ Compensation, Legal Unit </w:t>
      </w:r>
    </w:p>
    <w:p w:rsidR="00D43BC2" w:rsidRPr="006B09AB" w:rsidRDefault="00D43BC2" w:rsidP="006B09AB">
      <w:pPr>
        <w:autoSpaceDE w:val="0"/>
        <w:autoSpaceDN w:val="0"/>
        <w:spacing w:after="0" w:line="240" w:lineRule="auto"/>
        <w:jc w:val="both"/>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P.O. Box 420603 </w:t>
      </w:r>
    </w:p>
    <w:p w:rsidR="00D43BC2" w:rsidRDefault="006B09AB" w:rsidP="006B09A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rsidR="00194B8A" w:rsidRDefault="00194B8A" w:rsidP="006B09AB">
      <w:pPr>
        <w:autoSpaceDE w:val="0"/>
        <w:autoSpaceDN w:val="0"/>
        <w:spacing w:after="0" w:line="240" w:lineRule="auto"/>
        <w:jc w:val="both"/>
        <w:rPr>
          <w:rFonts w:ascii="Times New Roman" w:eastAsia="Times New Roman" w:hAnsi="Times New Roman"/>
          <w:color w:val="000000"/>
          <w:sz w:val="24"/>
          <w:szCs w:val="24"/>
        </w:rPr>
      </w:pPr>
    </w:p>
    <w:p w:rsidR="00D43BC2" w:rsidRDefault="005417CA" w:rsidP="00486FD5">
      <w:pPr>
        <w:autoSpaceDE w:val="0"/>
        <w:autoSpaceDN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Re:  </w:t>
      </w:r>
      <w:r w:rsidR="00D956F8">
        <w:rPr>
          <w:rFonts w:ascii="Times New Roman" w:eastAsia="Times New Roman" w:hAnsi="Times New Roman"/>
          <w:b/>
          <w:color w:val="000000"/>
          <w:sz w:val="24"/>
          <w:szCs w:val="24"/>
        </w:rPr>
        <w:t xml:space="preserve">First </w:t>
      </w:r>
      <w:r w:rsidR="000F4946">
        <w:rPr>
          <w:rFonts w:ascii="Times New Roman" w:eastAsia="Times New Roman" w:hAnsi="Times New Roman"/>
          <w:b/>
          <w:color w:val="000000"/>
          <w:sz w:val="24"/>
          <w:szCs w:val="24"/>
        </w:rPr>
        <w:t>15-Day</w:t>
      </w:r>
      <w:r w:rsidR="00486FD5">
        <w:rPr>
          <w:rFonts w:ascii="Times New Roman" w:eastAsia="Times New Roman" w:hAnsi="Times New Roman"/>
          <w:b/>
          <w:color w:val="000000"/>
          <w:sz w:val="24"/>
          <w:szCs w:val="24"/>
        </w:rPr>
        <w:t xml:space="preserve"> Comment</w:t>
      </w:r>
      <w:r w:rsidR="004E329F">
        <w:rPr>
          <w:rFonts w:ascii="Times New Roman" w:eastAsia="Times New Roman" w:hAnsi="Times New Roman"/>
          <w:b/>
          <w:color w:val="000000"/>
          <w:sz w:val="24"/>
          <w:szCs w:val="24"/>
        </w:rPr>
        <w:t xml:space="preserve">: </w:t>
      </w:r>
      <w:r w:rsidR="0028572C">
        <w:rPr>
          <w:rFonts w:ascii="Times New Roman" w:eastAsia="Times New Roman" w:hAnsi="Times New Roman"/>
          <w:b/>
          <w:color w:val="000000"/>
          <w:sz w:val="24"/>
          <w:szCs w:val="24"/>
        </w:rPr>
        <w:t>Physician Fee Schedule Regulations</w:t>
      </w:r>
    </w:p>
    <w:p w:rsidR="004F2313" w:rsidRDefault="004F2313" w:rsidP="00486FD5">
      <w:pPr>
        <w:autoSpaceDE w:val="0"/>
        <w:autoSpaceDN w:val="0"/>
        <w:spacing w:after="0" w:line="240" w:lineRule="auto"/>
        <w:jc w:val="both"/>
        <w:rPr>
          <w:rFonts w:ascii="Times New Roman" w:eastAsia="Times New Roman" w:hAnsi="Times New Roman"/>
          <w:b/>
          <w:color w:val="000000"/>
          <w:sz w:val="24"/>
          <w:szCs w:val="24"/>
        </w:rPr>
      </w:pPr>
    </w:p>
    <w:p w:rsidR="00D43BC2" w:rsidRPr="006B09AB" w:rsidRDefault="00D43BC2" w:rsidP="006B09AB">
      <w:pPr>
        <w:tabs>
          <w:tab w:val="left" w:pos="720"/>
        </w:tabs>
        <w:autoSpaceDE w:val="0"/>
        <w:autoSpaceDN w:val="0"/>
        <w:spacing w:after="0" w:line="240" w:lineRule="auto"/>
        <w:rPr>
          <w:rFonts w:ascii="Times New Roman" w:eastAsia="Times New Roman" w:hAnsi="Times New Roman"/>
          <w:color w:val="000000"/>
          <w:sz w:val="24"/>
          <w:szCs w:val="24"/>
        </w:rPr>
      </w:pPr>
      <w:r w:rsidRPr="006B09AB">
        <w:rPr>
          <w:rFonts w:ascii="Times New Roman" w:eastAsia="Times New Roman" w:hAnsi="Times New Roman"/>
          <w:color w:val="000000"/>
          <w:sz w:val="24"/>
          <w:szCs w:val="24"/>
        </w:rPr>
        <w:t xml:space="preserve">Dear Ms. Gray:  </w:t>
      </w:r>
    </w:p>
    <w:p w:rsidR="00D43BC2" w:rsidRPr="006B09AB" w:rsidRDefault="00D43BC2" w:rsidP="006B09AB">
      <w:pPr>
        <w:autoSpaceDE w:val="0"/>
        <w:autoSpaceDN w:val="0"/>
        <w:spacing w:after="0" w:line="240" w:lineRule="auto"/>
        <w:rPr>
          <w:rFonts w:ascii="Times New Roman" w:eastAsia="Times New Roman" w:hAnsi="Times New Roman"/>
          <w:color w:val="000000"/>
          <w:sz w:val="24"/>
          <w:szCs w:val="24"/>
        </w:rPr>
      </w:pPr>
    </w:p>
    <w:p w:rsidR="00CB6477" w:rsidRPr="00822CF6" w:rsidRDefault="005417CA" w:rsidP="00CB64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On behalf of its members, California Workers’ Compensation </w:t>
      </w:r>
      <w:r w:rsidRPr="004E329F">
        <w:rPr>
          <w:rFonts w:ascii="Times New Roman" w:eastAsia="Times New Roman" w:hAnsi="Times New Roman"/>
          <w:color w:val="000000"/>
          <w:sz w:val="24"/>
          <w:szCs w:val="24"/>
        </w:rPr>
        <w:t xml:space="preserve">Institute </w:t>
      </w:r>
      <w:r w:rsidR="00486FD5" w:rsidRPr="004E329F">
        <w:rPr>
          <w:rFonts w:ascii="Times New Roman" w:eastAsia="Times New Roman" w:hAnsi="Times New Roman"/>
          <w:color w:val="000000"/>
          <w:sz w:val="24"/>
          <w:szCs w:val="24"/>
        </w:rPr>
        <w:t>offers</w:t>
      </w:r>
      <w:r w:rsidR="004E329F" w:rsidRPr="004E329F">
        <w:rPr>
          <w:rFonts w:ascii="Times New Roman" w:eastAsia="Times New Roman" w:hAnsi="Times New Roman"/>
          <w:color w:val="000000"/>
          <w:sz w:val="24"/>
          <w:szCs w:val="24"/>
        </w:rPr>
        <w:t xml:space="preserve"> these comments on the</w:t>
      </w:r>
      <w:r w:rsidR="0061321A">
        <w:rPr>
          <w:rFonts w:ascii="Times New Roman" w:eastAsia="Times New Roman" w:hAnsi="Times New Roman"/>
          <w:color w:val="000000"/>
          <w:sz w:val="24"/>
          <w:szCs w:val="24"/>
        </w:rPr>
        <w:t xml:space="preserve"> proposed modifications to the Physician/Non-Physician Practitioners Services Fee Schedule regulations portion of the Official Medical Fee Schedule</w:t>
      </w:r>
      <w:r w:rsidR="0088406B">
        <w:rPr>
          <w:rFonts w:ascii="Times New Roman" w:eastAsia="Times New Roman" w:hAnsi="Times New Roman"/>
          <w:color w:val="000000"/>
          <w:sz w:val="24"/>
          <w:szCs w:val="24"/>
        </w:rPr>
        <w:t xml:space="preserve">.  </w:t>
      </w:r>
      <w:r w:rsidR="00CB6477">
        <w:rPr>
          <w:rFonts w:ascii="Times New Roman" w:eastAsia="Times New Roman" w:hAnsi="Times New Roman"/>
          <w:color w:val="000000"/>
          <w:sz w:val="24"/>
          <w:szCs w:val="24"/>
        </w:rPr>
        <w:t xml:space="preserve">The Institute </w:t>
      </w:r>
      <w:r w:rsidR="00CB6477" w:rsidRPr="00822CF6">
        <w:rPr>
          <w:rFonts w:ascii="Times New Roman" w:eastAsia="Times New Roman" w:hAnsi="Times New Roman"/>
          <w:sz w:val="24"/>
          <w:szCs w:val="24"/>
        </w:rPr>
        <w:t>members include insurers writing 8</w:t>
      </w:r>
      <w:r w:rsidR="0061321A">
        <w:rPr>
          <w:rFonts w:ascii="Times New Roman" w:eastAsia="Times New Roman" w:hAnsi="Times New Roman"/>
          <w:sz w:val="24"/>
          <w:szCs w:val="24"/>
        </w:rPr>
        <w:t>2</w:t>
      </w:r>
      <w:r w:rsidR="00CB6477" w:rsidRPr="00822CF6">
        <w:rPr>
          <w:rFonts w:ascii="Times New Roman" w:eastAsia="Times New Roman" w:hAnsi="Times New Roman"/>
          <w:sz w:val="24"/>
          <w:szCs w:val="24"/>
        </w:rPr>
        <w:t>% of California’s workers’ compensation premium, and self-insured employers with $6</w:t>
      </w:r>
      <w:r w:rsidR="0061321A">
        <w:rPr>
          <w:rFonts w:ascii="Times New Roman" w:eastAsia="Times New Roman" w:hAnsi="Times New Roman"/>
          <w:sz w:val="24"/>
          <w:szCs w:val="24"/>
        </w:rPr>
        <w:t>9.8</w:t>
      </w:r>
      <w:r w:rsidR="00CB6477" w:rsidRPr="00822CF6">
        <w:rPr>
          <w:rFonts w:ascii="Times New Roman" w:eastAsia="Times New Roman" w:hAnsi="Times New Roman"/>
          <w:sz w:val="24"/>
          <w:szCs w:val="24"/>
        </w:rPr>
        <w:t>B of annual payroll (3</w:t>
      </w:r>
      <w:r w:rsidR="0061321A">
        <w:rPr>
          <w:rFonts w:ascii="Times New Roman" w:eastAsia="Times New Roman" w:hAnsi="Times New Roman"/>
          <w:sz w:val="24"/>
          <w:szCs w:val="24"/>
        </w:rPr>
        <w:t>1.5</w:t>
      </w:r>
      <w:r w:rsidR="00CB6477" w:rsidRPr="00822CF6">
        <w:rPr>
          <w:rFonts w:ascii="Times New Roman" w:eastAsia="Times New Roman" w:hAnsi="Times New Roman"/>
          <w:sz w:val="24"/>
          <w:szCs w:val="24"/>
        </w:rPr>
        <w:t>% of the state’s total annual self-insured payroll).</w:t>
      </w:r>
    </w:p>
    <w:p w:rsidR="00CB6477" w:rsidRPr="00682928" w:rsidRDefault="00CB6477" w:rsidP="006B09AB">
      <w:pPr>
        <w:spacing w:after="0" w:line="240" w:lineRule="auto"/>
        <w:rPr>
          <w:rFonts w:ascii="Times New Roman" w:eastAsia="Times New Roman" w:hAnsi="Times New Roman"/>
          <w:color w:val="000000"/>
          <w:szCs w:val="24"/>
        </w:rPr>
      </w:pPr>
    </w:p>
    <w:p w:rsidR="00D43BC2" w:rsidRDefault="00D43BC2" w:rsidP="002D699D">
      <w:pPr>
        <w:tabs>
          <w:tab w:val="left" w:pos="900"/>
        </w:tabs>
        <w:spacing w:after="0" w:line="240" w:lineRule="auto"/>
        <w:rPr>
          <w:rFonts w:ascii="Times New Roman" w:eastAsia="Times New Roman" w:hAnsi="Times New Roman"/>
          <w:sz w:val="24"/>
          <w:szCs w:val="24"/>
        </w:rPr>
      </w:pPr>
      <w:r w:rsidRPr="006B09AB">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State Farm Insurance Companies, Travelers, XL America, Zenith Insurance Company, and Zurich North America.</w:t>
      </w:r>
    </w:p>
    <w:p w:rsidR="002D699D" w:rsidRPr="00682928" w:rsidRDefault="002D699D" w:rsidP="002D699D">
      <w:pPr>
        <w:tabs>
          <w:tab w:val="left" w:pos="900"/>
        </w:tabs>
        <w:spacing w:after="0" w:line="240" w:lineRule="auto"/>
        <w:rPr>
          <w:rFonts w:ascii="Times New Roman" w:eastAsia="Times New Roman" w:hAnsi="Times New Roman"/>
          <w:szCs w:val="24"/>
        </w:rPr>
      </w:pPr>
    </w:p>
    <w:p w:rsidR="00D43BC2" w:rsidRDefault="00D43BC2" w:rsidP="006B09AB">
      <w:pPr>
        <w:tabs>
          <w:tab w:val="left" w:pos="900"/>
        </w:tabs>
        <w:spacing w:after="200" w:line="240" w:lineRule="auto"/>
        <w:rPr>
          <w:rFonts w:ascii="Times New Roman" w:eastAsia="Times New Roman" w:hAnsi="Times New Roman"/>
          <w:sz w:val="24"/>
          <w:szCs w:val="24"/>
        </w:rPr>
      </w:pPr>
      <w:r w:rsidRPr="006B09AB">
        <w:rPr>
          <w:rFonts w:ascii="Times New Roman" w:eastAsia="Times New Roman" w:hAnsi="Times New Roman"/>
          <w:sz w:val="24"/>
          <w:szCs w:val="24"/>
        </w:rPr>
        <w:t xml:space="preserve">Self-insured employer members include Adventist Health, </w:t>
      </w:r>
      <w:r w:rsidR="008F6CBB">
        <w:rPr>
          <w:rFonts w:ascii="Times New Roman" w:eastAsia="Times New Roman" w:hAnsi="Times New Roman"/>
          <w:sz w:val="24"/>
          <w:szCs w:val="24"/>
        </w:rPr>
        <w:t xml:space="preserve">Albertsons/Safeway, </w:t>
      </w:r>
      <w:r w:rsidRPr="006B09AB">
        <w:rPr>
          <w:rFonts w:ascii="Times New Roman" w:eastAsia="Times New Roman" w:hAnsi="Times New Roman"/>
          <w:sz w:val="24"/>
          <w:szCs w:val="24"/>
        </w:rPr>
        <w:t xml:space="preserve">BETA Healthcare Group, California Joint Powers Insurance Authority, California State University Risk Management Authority, Chevron Corporation, City and County of San Francisco, </w:t>
      </w:r>
      <w:r w:rsidR="008F6CBB">
        <w:rPr>
          <w:rFonts w:ascii="Times New Roman" w:eastAsia="Times New Roman" w:hAnsi="Times New Roman"/>
          <w:sz w:val="24"/>
          <w:szCs w:val="24"/>
        </w:rPr>
        <w:t xml:space="preserve">City of Los Angeles, </w:t>
      </w:r>
      <w:r w:rsidRPr="006B09AB">
        <w:rPr>
          <w:rFonts w:ascii="Times New Roman" w:eastAsia="Times New Roman" w:hAnsi="Times New Roman"/>
          <w:sz w:val="24"/>
          <w:szCs w:val="24"/>
        </w:rPr>
        <w:t xml:space="preserve">City of Torrance, </w:t>
      </w:r>
      <w:r w:rsidR="008F6CBB">
        <w:rPr>
          <w:rFonts w:ascii="Times New Roman" w:eastAsia="Times New Roman" w:hAnsi="Times New Roman"/>
          <w:sz w:val="24"/>
          <w:szCs w:val="24"/>
        </w:rPr>
        <w:t xml:space="preserve">Contra Costa County Risk Management, </w:t>
      </w:r>
      <w:r w:rsidRPr="006B09AB">
        <w:rPr>
          <w:rFonts w:ascii="Times New Roman" w:eastAsia="Times New Roman" w:hAnsi="Times New Roman"/>
          <w:sz w:val="24"/>
          <w:szCs w:val="24"/>
        </w:rPr>
        <w:t>Contra Costa County Schools Insurance Group, Costco Wholesale, County of Alameda, County of Los Angeles, County of San Bernardino Risk Management, County of Santa Clara</w:t>
      </w:r>
      <w:r w:rsidR="008F6CBB">
        <w:rPr>
          <w:rFonts w:ascii="Times New Roman" w:eastAsia="Times New Roman" w:hAnsi="Times New Roman"/>
          <w:sz w:val="24"/>
          <w:szCs w:val="24"/>
        </w:rPr>
        <w:t xml:space="preserve"> Risk Management</w:t>
      </w:r>
      <w:r w:rsidRPr="006B09AB">
        <w:rPr>
          <w:rFonts w:ascii="Times New Roman" w:eastAsia="Times New Roman" w:hAnsi="Times New Roman"/>
          <w:sz w:val="24"/>
          <w:szCs w:val="24"/>
        </w:rPr>
        <w:t xml:space="preserve">, Dignity Health, Foster Farms, Grimmway </w:t>
      </w:r>
      <w:r w:rsidR="00761F2C">
        <w:rPr>
          <w:rFonts w:ascii="Times New Roman" w:eastAsia="Times New Roman" w:hAnsi="Times New Roman"/>
          <w:sz w:val="24"/>
          <w:szCs w:val="24"/>
        </w:rPr>
        <w:t>Farms</w:t>
      </w:r>
      <w:r w:rsidRPr="006B09AB">
        <w:rPr>
          <w:rFonts w:ascii="Times New Roman" w:eastAsia="Times New Roman" w:hAnsi="Times New Roman"/>
          <w:sz w:val="24"/>
          <w:szCs w:val="24"/>
        </w:rPr>
        <w:t xml:space="preserve">, Kaiser Permanente, Marriott International, Inc., </w:t>
      </w:r>
      <w:r w:rsidR="008F6CBB">
        <w:rPr>
          <w:rFonts w:ascii="Times New Roman" w:eastAsia="Times New Roman" w:hAnsi="Times New Roman"/>
          <w:sz w:val="24"/>
          <w:szCs w:val="24"/>
        </w:rPr>
        <w:t xml:space="preserve">North Bay Schools Insurance Authority, </w:t>
      </w:r>
      <w:r w:rsidRPr="006B09AB">
        <w:rPr>
          <w:rFonts w:ascii="Times New Roman" w:eastAsia="Times New Roman" w:hAnsi="Times New Roman"/>
          <w:sz w:val="24"/>
          <w:szCs w:val="24"/>
        </w:rPr>
        <w:t xml:space="preserve">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682928" w:rsidRPr="00682928" w:rsidRDefault="00682928" w:rsidP="004F2313">
      <w:pPr>
        <w:tabs>
          <w:tab w:val="left" w:pos="900"/>
        </w:tabs>
        <w:spacing w:after="0" w:line="240" w:lineRule="auto"/>
        <w:rPr>
          <w:rFonts w:ascii="Times New Roman" w:eastAsia="Times New Roman" w:hAnsi="Times New Roman"/>
          <w:color w:val="000000"/>
          <w:sz w:val="4"/>
          <w:szCs w:val="24"/>
        </w:rPr>
      </w:pPr>
    </w:p>
    <w:p w:rsidR="004F2313" w:rsidRPr="004F2313" w:rsidRDefault="004F2313" w:rsidP="004F2313">
      <w:pPr>
        <w:tabs>
          <w:tab w:val="left" w:pos="900"/>
        </w:tabs>
        <w:spacing w:after="0" w:line="240" w:lineRule="auto"/>
        <w:rPr>
          <w:rFonts w:ascii="Times New Roman" w:eastAsia="Times New Roman" w:hAnsi="Times New Roman"/>
          <w:i/>
          <w:color w:val="000000"/>
          <w:sz w:val="24"/>
          <w:szCs w:val="24"/>
        </w:rPr>
      </w:pPr>
      <w:r w:rsidRPr="004F2313">
        <w:rPr>
          <w:rFonts w:ascii="Times New Roman" w:eastAsia="Times New Roman" w:hAnsi="Times New Roman"/>
          <w:color w:val="000000"/>
          <w:sz w:val="24"/>
          <w:szCs w:val="24"/>
        </w:rPr>
        <w:t xml:space="preserve">Recommended revisions to the proposed regulation are indicated by </w:t>
      </w:r>
      <w:r w:rsidRPr="004F2313">
        <w:rPr>
          <w:rFonts w:ascii="Times New Roman" w:eastAsia="Times New Roman" w:hAnsi="Times New Roman"/>
          <w:color w:val="000000"/>
          <w:sz w:val="24"/>
          <w:szCs w:val="24"/>
          <w:highlight w:val="yellow"/>
          <w:u w:val="single"/>
        </w:rPr>
        <w:t>underscore</w:t>
      </w:r>
      <w:r w:rsidRPr="004F2313">
        <w:rPr>
          <w:rFonts w:ascii="Times New Roman" w:eastAsia="Times New Roman" w:hAnsi="Times New Roman"/>
          <w:color w:val="000000"/>
          <w:sz w:val="24"/>
          <w:szCs w:val="24"/>
          <w:u w:val="single"/>
        </w:rPr>
        <w:t xml:space="preserve"> </w:t>
      </w:r>
      <w:r w:rsidRPr="004F2313">
        <w:rPr>
          <w:rFonts w:ascii="Times New Roman" w:eastAsia="Times New Roman" w:hAnsi="Times New Roman"/>
          <w:color w:val="000000"/>
          <w:sz w:val="24"/>
          <w:szCs w:val="24"/>
        </w:rPr>
        <w:t xml:space="preserve">and </w:t>
      </w:r>
      <w:r w:rsidRPr="004F2313">
        <w:rPr>
          <w:rFonts w:ascii="Times New Roman" w:eastAsia="Times New Roman" w:hAnsi="Times New Roman"/>
          <w:strike/>
          <w:color w:val="000000"/>
          <w:sz w:val="24"/>
          <w:szCs w:val="24"/>
          <w:highlight w:val="yellow"/>
        </w:rPr>
        <w:t>strikeout</w:t>
      </w:r>
      <w:r w:rsidRPr="004F2313">
        <w:rPr>
          <w:rFonts w:ascii="Times New Roman" w:eastAsia="Times New Roman" w:hAnsi="Times New Roman"/>
          <w:color w:val="000000"/>
          <w:sz w:val="24"/>
          <w:szCs w:val="24"/>
        </w:rPr>
        <w:t xml:space="preserve">.  Comments and discussion by the Institute are identified by </w:t>
      </w:r>
      <w:r w:rsidRPr="004F2313">
        <w:rPr>
          <w:rFonts w:ascii="Times New Roman" w:eastAsia="Times New Roman" w:hAnsi="Times New Roman"/>
          <w:i/>
          <w:color w:val="000000"/>
          <w:sz w:val="24"/>
          <w:szCs w:val="24"/>
        </w:rPr>
        <w:t>italicized text.</w:t>
      </w:r>
    </w:p>
    <w:p w:rsidR="00312416" w:rsidRDefault="00312416" w:rsidP="00486FD5">
      <w:pPr>
        <w:spacing w:after="0" w:line="240" w:lineRule="auto"/>
        <w:textAlignment w:val="baseline"/>
        <w:outlineLvl w:val="5"/>
        <w:rPr>
          <w:rFonts w:ascii="Times New Roman" w:hAnsi="Times New Roman"/>
          <w:b/>
          <w:sz w:val="24"/>
          <w:szCs w:val="24"/>
        </w:rPr>
      </w:pPr>
    </w:p>
    <w:p w:rsidR="00A5443C" w:rsidRDefault="00A5443C" w:rsidP="00486FD5">
      <w:pPr>
        <w:spacing w:after="0" w:line="240" w:lineRule="auto"/>
        <w:textAlignment w:val="baseline"/>
        <w:outlineLvl w:val="5"/>
        <w:rPr>
          <w:rFonts w:ascii="Times New Roman" w:hAnsi="Times New Roman"/>
          <w:b/>
          <w:sz w:val="24"/>
          <w:szCs w:val="24"/>
        </w:rPr>
      </w:pPr>
    </w:p>
    <w:p w:rsidR="00A5443C" w:rsidRDefault="00A5443C" w:rsidP="00486FD5">
      <w:pPr>
        <w:spacing w:after="0" w:line="240" w:lineRule="auto"/>
        <w:textAlignment w:val="baseline"/>
        <w:outlineLvl w:val="5"/>
        <w:rPr>
          <w:rFonts w:ascii="Times New Roman" w:hAnsi="Times New Roman"/>
          <w:b/>
          <w:sz w:val="24"/>
          <w:szCs w:val="24"/>
        </w:rPr>
      </w:pPr>
    </w:p>
    <w:p w:rsidR="00A5443C" w:rsidRDefault="00A5443C" w:rsidP="00486FD5">
      <w:pPr>
        <w:spacing w:after="0" w:line="240" w:lineRule="auto"/>
        <w:textAlignment w:val="baseline"/>
        <w:outlineLvl w:val="5"/>
        <w:rPr>
          <w:rFonts w:ascii="Times New Roman" w:hAnsi="Times New Roman"/>
          <w:b/>
          <w:sz w:val="24"/>
          <w:szCs w:val="24"/>
        </w:rPr>
      </w:pPr>
    </w:p>
    <w:p w:rsidR="00D10507" w:rsidRDefault="00D10507" w:rsidP="00486FD5">
      <w:pPr>
        <w:spacing w:after="0" w:line="240" w:lineRule="auto"/>
        <w:textAlignment w:val="baseline"/>
        <w:outlineLvl w:val="5"/>
        <w:rPr>
          <w:rFonts w:ascii="Times New Roman" w:hAnsi="Times New Roman"/>
          <w:b/>
          <w:sz w:val="24"/>
          <w:szCs w:val="24"/>
        </w:rPr>
      </w:pPr>
    </w:p>
    <w:p w:rsidR="00207F57" w:rsidRDefault="00D956F8" w:rsidP="00486FD5">
      <w:pPr>
        <w:spacing w:after="0" w:line="240" w:lineRule="auto"/>
        <w:textAlignment w:val="baseline"/>
        <w:outlineLvl w:val="5"/>
        <w:rPr>
          <w:rFonts w:ascii="Times New Roman" w:hAnsi="Times New Roman"/>
          <w:b/>
          <w:sz w:val="24"/>
          <w:szCs w:val="24"/>
        </w:rPr>
      </w:pPr>
      <w:r>
        <w:rPr>
          <w:rFonts w:ascii="Times New Roman" w:hAnsi="Times New Roman"/>
          <w:b/>
          <w:sz w:val="24"/>
          <w:szCs w:val="24"/>
        </w:rPr>
        <w:t>Recommendation</w:t>
      </w:r>
      <w:r w:rsidR="00B10F40">
        <w:rPr>
          <w:rFonts w:ascii="Times New Roman" w:hAnsi="Times New Roman"/>
          <w:b/>
          <w:sz w:val="24"/>
          <w:szCs w:val="24"/>
        </w:rPr>
        <w:t>:</w:t>
      </w:r>
    </w:p>
    <w:p w:rsidR="00663F0C" w:rsidRDefault="00663F0C" w:rsidP="00486FD5">
      <w:pPr>
        <w:spacing w:after="0" w:line="240" w:lineRule="auto"/>
        <w:textAlignment w:val="baseline"/>
        <w:outlineLvl w:val="5"/>
        <w:rPr>
          <w:rFonts w:ascii="Times New Roman" w:hAnsi="Times New Roman"/>
          <w:b/>
          <w:sz w:val="24"/>
          <w:szCs w:val="24"/>
        </w:rPr>
      </w:pPr>
    </w:p>
    <w:p w:rsidR="00663F0C" w:rsidRDefault="00D956F8" w:rsidP="00486FD5">
      <w:pPr>
        <w:spacing w:after="0" w:line="240" w:lineRule="auto"/>
        <w:textAlignment w:val="baseline"/>
        <w:outlineLvl w:val="5"/>
        <w:rPr>
          <w:rFonts w:ascii="Times New Roman" w:hAnsi="Times New Roman"/>
          <w:b/>
          <w:sz w:val="24"/>
          <w:szCs w:val="24"/>
        </w:rPr>
      </w:pPr>
      <w:r w:rsidRPr="00663F0C">
        <w:rPr>
          <w:rFonts w:ascii="Times New Roman" w:hAnsi="Times New Roman"/>
          <w:b/>
          <w:sz w:val="24"/>
          <w:szCs w:val="24"/>
        </w:rPr>
        <w:t>§9789.12.2</w:t>
      </w:r>
      <w:r w:rsidR="00663F0C">
        <w:rPr>
          <w:rFonts w:ascii="Times New Roman" w:hAnsi="Times New Roman"/>
          <w:b/>
          <w:sz w:val="24"/>
          <w:szCs w:val="24"/>
        </w:rPr>
        <w:t xml:space="preserve"> Calculation of the Maximum Reasonable Fee – Services Other than Anesthesia.</w:t>
      </w:r>
    </w:p>
    <w:p w:rsidR="00663F0C" w:rsidRPr="00663F0C" w:rsidRDefault="00663F0C" w:rsidP="00486FD5">
      <w:pPr>
        <w:spacing w:after="0" w:line="240" w:lineRule="auto"/>
        <w:textAlignment w:val="baseline"/>
        <w:outlineLvl w:val="5"/>
        <w:rPr>
          <w:rFonts w:ascii="Times New Roman" w:hAnsi="Times New Roman"/>
          <w:b/>
          <w:sz w:val="24"/>
          <w:szCs w:val="24"/>
        </w:rPr>
      </w:pPr>
    </w:p>
    <w:p w:rsidR="00D956F8" w:rsidRDefault="00D956F8" w:rsidP="00663F0C">
      <w:pPr>
        <w:spacing w:after="0" w:line="240" w:lineRule="auto"/>
        <w:textAlignment w:val="baseline"/>
        <w:outlineLvl w:val="5"/>
        <w:rPr>
          <w:rFonts w:ascii="Times New Roman" w:eastAsia="Times New Roman" w:hAnsi="Times New Roman"/>
          <w:color w:val="000000"/>
          <w:sz w:val="24"/>
          <w:szCs w:val="24"/>
        </w:rPr>
      </w:pPr>
      <w:r w:rsidRPr="00663F0C">
        <w:rPr>
          <w:rFonts w:ascii="Times New Roman" w:eastAsia="Times New Roman" w:hAnsi="Times New Roman"/>
          <w:color w:val="000000"/>
          <w:sz w:val="24"/>
          <w:szCs w:val="24"/>
        </w:rPr>
        <w:t>(e)(2)(B)</w:t>
      </w:r>
      <w:r w:rsidR="00663F0C" w:rsidRPr="00663F0C">
        <w:rPr>
          <w:rFonts w:ascii="Times New Roman" w:eastAsia="Times New Roman" w:hAnsi="Times New Roman"/>
          <w:color w:val="000000"/>
          <w:sz w:val="24"/>
          <w:szCs w:val="24"/>
        </w:rPr>
        <w:t>(</w:t>
      </w:r>
      <w:proofErr w:type="spellStart"/>
      <w:r w:rsidR="00663F0C" w:rsidRPr="00663F0C">
        <w:rPr>
          <w:rFonts w:ascii="Times New Roman" w:eastAsia="Times New Roman" w:hAnsi="Times New Roman"/>
          <w:color w:val="000000"/>
          <w:sz w:val="24"/>
          <w:szCs w:val="24"/>
        </w:rPr>
        <w:t>i</w:t>
      </w:r>
      <w:proofErr w:type="spellEnd"/>
      <w:r w:rsidR="00663F0C" w:rsidRPr="00663F0C">
        <w:rPr>
          <w:rFonts w:ascii="Times New Roman" w:eastAsia="Times New Roman" w:hAnsi="Times New Roman"/>
          <w:color w:val="000000"/>
          <w:sz w:val="24"/>
          <w:szCs w:val="24"/>
        </w:rPr>
        <w:t xml:space="preserve">) </w:t>
      </w:r>
      <w:r w:rsidRPr="00663F0C">
        <w:rPr>
          <w:rFonts w:ascii="Times New Roman" w:eastAsia="Times New Roman" w:hAnsi="Times New Roman"/>
          <w:color w:val="000000"/>
          <w:sz w:val="24"/>
          <w:szCs w:val="24"/>
        </w:rPr>
        <w:t xml:space="preserve">Global Service Code – If the global diagnostic code (no modifier TC and no modifier -26) is billed, the provider must report </w:t>
      </w:r>
      <w:r w:rsidRPr="00663F0C">
        <w:rPr>
          <w:rFonts w:ascii="Times New Roman" w:eastAsia="Times New Roman" w:hAnsi="Times New Roman"/>
          <w:color w:val="000000"/>
          <w:sz w:val="24"/>
          <w:szCs w:val="24"/>
          <w:highlight w:val="yellow"/>
          <w:u w:val="single"/>
        </w:rPr>
        <w:t>on the bill for the global diagnostic service</w:t>
      </w:r>
      <w:r w:rsidRPr="00663F0C">
        <w:rPr>
          <w:rFonts w:ascii="Times New Roman" w:eastAsia="Times New Roman" w:hAnsi="Times New Roman"/>
          <w:color w:val="000000"/>
          <w:sz w:val="24"/>
          <w:szCs w:val="24"/>
        </w:rPr>
        <w:t xml:space="preserve"> code the name and address, including the ZIP code, of where the test was furnished</w:t>
      </w:r>
      <w:r w:rsidR="00663F0C">
        <w:rPr>
          <w:rFonts w:ascii="Times New Roman" w:eastAsia="Times New Roman" w:hAnsi="Times New Roman"/>
          <w:color w:val="000000"/>
          <w:sz w:val="24"/>
          <w:szCs w:val="24"/>
        </w:rPr>
        <w:t xml:space="preserve"> </w:t>
      </w:r>
      <w:r w:rsidR="00663F0C" w:rsidRPr="00663F0C">
        <w:rPr>
          <w:rFonts w:ascii="Times New Roman" w:eastAsia="Times New Roman" w:hAnsi="Times New Roman"/>
          <w:strike/>
          <w:color w:val="000000"/>
          <w:sz w:val="24"/>
          <w:szCs w:val="24"/>
          <w:highlight w:val="yellow"/>
        </w:rPr>
        <w:t>on the bill for the global</w:t>
      </w:r>
      <w:r w:rsidR="00663F0C">
        <w:rPr>
          <w:rFonts w:ascii="Times New Roman" w:eastAsia="Times New Roman" w:hAnsi="Times New Roman"/>
          <w:color w:val="000000"/>
          <w:sz w:val="24"/>
          <w:szCs w:val="24"/>
        </w:rPr>
        <w:t xml:space="preserve"> </w:t>
      </w:r>
      <w:r w:rsidR="00663F0C" w:rsidRPr="00663F0C">
        <w:rPr>
          <w:rFonts w:ascii="Times New Roman" w:eastAsia="Times New Roman" w:hAnsi="Times New Roman"/>
          <w:strike/>
          <w:color w:val="000000"/>
          <w:sz w:val="24"/>
          <w:szCs w:val="24"/>
          <w:highlight w:val="yellow"/>
        </w:rPr>
        <w:t>diagnostic service code</w:t>
      </w:r>
      <w:r w:rsidRPr="00663F0C">
        <w:rPr>
          <w:rFonts w:ascii="Times New Roman" w:eastAsia="Times New Roman" w:hAnsi="Times New Roman"/>
          <w:color w:val="000000"/>
          <w:sz w:val="24"/>
          <w:szCs w:val="24"/>
        </w:rPr>
        <w:t>. For example, when the global diagnostic service code is billed for chest x-ray as described by CPT code 71045 (no modifier TC and no modifier -26), the locality is determined by the ZIP code applicable to the testing facility. In order to bill for a global diagnostic service code, the same physician or supplier entity must furnish both the TC and the PC of the diagnostic service, and the TC and PC must be furnished within the same payment locality.</w:t>
      </w:r>
    </w:p>
    <w:p w:rsidR="00663F0C" w:rsidRPr="00663F0C" w:rsidRDefault="00663F0C" w:rsidP="00663F0C">
      <w:pPr>
        <w:pStyle w:val="NoSpacing"/>
        <w:rPr>
          <w:rFonts w:ascii="Times New Roman" w:eastAsia="Times New Roman" w:hAnsi="Times New Roman"/>
          <w:color w:val="000000"/>
          <w:sz w:val="24"/>
          <w:szCs w:val="24"/>
        </w:rPr>
      </w:pPr>
      <w:r w:rsidRPr="00663F0C">
        <w:rPr>
          <w:rFonts w:ascii="Times New Roman" w:eastAsia="Times New Roman" w:hAnsi="Times New Roman"/>
          <w:color w:val="000000"/>
          <w:sz w:val="24"/>
          <w:szCs w:val="24"/>
        </w:rPr>
        <w:t>(ii)  Separate Billing of Professional Interpretation:</w:t>
      </w:r>
    </w:p>
    <w:p w:rsidR="00663F0C" w:rsidRPr="00FE1AA8" w:rsidRDefault="00663F0C" w:rsidP="00663F0C">
      <w:pPr>
        <w:pStyle w:val="NoSpacing"/>
        <w:rPr>
          <w:rFonts w:ascii="Times New Roman" w:eastAsia="Times New Roman" w:hAnsi="Times New Roman"/>
          <w:color w:val="000000"/>
          <w:sz w:val="24"/>
          <w:szCs w:val="24"/>
          <w:u w:val="single"/>
        </w:rPr>
      </w:pPr>
      <w:r w:rsidRPr="00663F0C">
        <w:rPr>
          <w:rFonts w:ascii="Times New Roman" w:eastAsia="Times New Roman" w:hAnsi="Times New Roman"/>
          <w:color w:val="000000"/>
          <w:sz w:val="24"/>
          <w:szCs w:val="24"/>
        </w:rPr>
        <w:t xml:space="preserve">If the physician or supplier entity does not furnish both the TC and PC of the diagnostic service, or if the physician or supplier entity furnishes both the TC and PC but the professional interpretation was furnished in a different payment locality from where the TC was furnished, the professional interpretation of a diagnostic test must be separately billed </w:t>
      </w:r>
      <w:r w:rsidRPr="00663F0C">
        <w:rPr>
          <w:rFonts w:ascii="Times New Roman" w:eastAsia="Times New Roman" w:hAnsi="Times New Roman"/>
          <w:color w:val="000000"/>
          <w:sz w:val="24"/>
          <w:szCs w:val="24"/>
          <w:highlight w:val="yellow"/>
          <w:u w:val="single"/>
        </w:rPr>
        <w:t>by the interpreting physician</w:t>
      </w:r>
      <w:r>
        <w:rPr>
          <w:rFonts w:ascii="Times New Roman" w:eastAsia="Times New Roman" w:hAnsi="Times New Roman"/>
          <w:color w:val="000000"/>
          <w:sz w:val="24"/>
          <w:szCs w:val="24"/>
        </w:rPr>
        <w:t xml:space="preserve"> </w:t>
      </w:r>
      <w:r w:rsidRPr="00663F0C">
        <w:rPr>
          <w:rFonts w:ascii="Times New Roman" w:eastAsia="Times New Roman" w:hAnsi="Times New Roman"/>
          <w:color w:val="000000"/>
          <w:sz w:val="24"/>
          <w:szCs w:val="24"/>
        </w:rPr>
        <w:t xml:space="preserve">with modifier -26 </w:t>
      </w:r>
      <w:r w:rsidRPr="00663F0C">
        <w:rPr>
          <w:rFonts w:ascii="Times New Roman" w:eastAsia="Times New Roman" w:hAnsi="Times New Roman"/>
          <w:strike/>
          <w:color w:val="000000"/>
          <w:sz w:val="24"/>
          <w:szCs w:val="24"/>
          <w:highlight w:val="yellow"/>
        </w:rPr>
        <w:t>by the interpreting physician</w:t>
      </w:r>
      <w:r w:rsidRPr="00663F0C">
        <w:rPr>
          <w:rFonts w:ascii="Times New Roman" w:eastAsia="Times New Roman" w:hAnsi="Times New Roman"/>
          <w:color w:val="000000"/>
          <w:sz w:val="24"/>
          <w:szCs w:val="24"/>
        </w:rPr>
        <w:t xml:space="preserve">. The interpreting physician must report </w:t>
      </w:r>
      <w:r w:rsidRPr="00663F0C">
        <w:rPr>
          <w:rFonts w:ascii="Times New Roman" w:eastAsia="Times New Roman" w:hAnsi="Times New Roman"/>
          <w:color w:val="000000"/>
          <w:sz w:val="24"/>
          <w:szCs w:val="24"/>
          <w:highlight w:val="yellow"/>
          <w:u w:val="single"/>
        </w:rPr>
        <w:t>on the bill</w:t>
      </w:r>
      <w:r>
        <w:rPr>
          <w:rFonts w:ascii="Times New Roman" w:eastAsia="Times New Roman" w:hAnsi="Times New Roman"/>
          <w:color w:val="000000"/>
          <w:sz w:val="24"/>
          <w:szCs w:val="24"/>
        </w:rPr>
        <w:t xml:space="preserve"> </w:t>
      </w:r>
      <w:r w:rsidRPr="00663F0C">
        <w:rPr>
          <w:rFonts w:ascii="Times New Roman" w:eastAsia="Times New Roman" w:hAnsi="Times New Roman"/>
          <w:color w:val="000000"/>
          <w:sz w:val="24"/>
          <w:szCs w:val="24"/>
        </w:rPr>
        <w:t xml:space="preserve">the name and address, including ZIP code, of the location where professional interpretation was furnished </w:t>
      </w:r>
      <w:r w:rsidRPr="00663F0C">
        <w:rPr>
          <w:rFonts w:ascii="Times New Roman" w:eastAsia="Times New Roman" w:hAnsi="Times New Roman"/>
          <w:strike/>
          <w:color w:val="000000"/>
          <w:sz w:val="24"/>
          <w:szCs w:val="24"/>
          <w:highlight w:val="yellow"/>
        </w:rPr>
        <w:t>on the bill</w:t>
      </w:r>
      <w:r w:rsidRPr="00663F0C">
        <w:rPr>
          <w:rFonts w:ascii="Times New Roman" w:eastAsia="Times New Roman" w:hAnsi="Times New Roman"/>
          <w:color w:val="000000"/>
          <w:sz w:val="24"/>
          <w:szCs w:val="24"/>
        </w:rPr>
        <w:t xml:space="preserve">. </w:t>
      </w:r>
      <w:r w:rsidRPr="006809CE">
        <w:rPr>
          <w:rFonts w:ascii="Times New Roman" w:eastAsia="Times New Roman" w:hAnsi="Times New Roman"/>
          <w:sz w:val="24"/>
          <w:szCs w:val="24"/>
        </w:rPr>
        <w:t>If the professional interpretation was furnished at an unusual and infrequent location, for example, a hotel</w:t>
      </w:r>
      <w:r w:rsidR="006809CE">
        <w:rPr>
          <w:rFonts w:ascii="Times New Roman" w:eastAsia="Times New Roman" w:hAnsi="Times New Roman"/>
          <w:sz w:val="24"/>
          <w:szCs w:val="24"/>
        </w:rPr>
        <w:t xml:space="preserve"> </w:t>
      </w:r>
      <w:r w:rsidR="006809CE" w:rsidRPr="006809CE">
        <w:rPr>
          <w:rFonts w:ascii="Times New Roman" w:eastAsia="Times New Roman" w:hAnsi="Times New Roman"/>
          <w:sz w:val="24"/>
          <w:szCs w:val="24"/>
          <w:highlight w:val="yellow"/>
          <w:u w:val="single"/>
        </w:rPr>
        <w:t>or home</w:t>
      </w:r>
      <w:r w:rsidRPr="006809CE">
        <w:rPr>
          <w:rFonts w:ascii="Times New Roman" w:eastAsia="Times New Roman" w:hAnsi="Times New Roman"/>
          <w:sz w:val="24"/>
          <w:szCs w:val="24"/>
        </w:rPr>
        <w:t>, the locality of the professional</w:t>
      </w:r>
      <w:r w:rsidRPr="00663F0C">
        <w:rPr>
          <w:rFonts w:ascii="Times New Roman" w:eastAsia="Times New Roman" w:hAnsi="Times New Roman"/>
          <w:color w:val="000000"/>
          <w:sz w:val="24"/>
          <w:szCs w:val="24"/>
        </w:rPr>
        <w:t xml:space="preserve"> interpretation is determined based on where the interpreting physician most commonly practices.</w:t>
      </w:r>
      <w:r w:rsidR="006809CE">
        <w:rPr>
          <w:rFonts w:ascii="Times New Roman" w:eastAsia="Times New Roman" w:hAnsi="Times New Roman"/>
          <w:color w:val="000000"/>
          <w:sz w:val="24"/>
          <w:szCs w:val="24"/>
        </w:rPr>
        <w:t xml:space="preserve">  </w:t>
      </w:r>
      <w:r w:rsidR="00FE1AA8" w:rsidRPr="00FE1AA8">
        <w:rPr>
          <w:rFonts w:ascii="Times New Roman" w:eastAsia="Times New Roman" w:hAnsi="Times New Roman"/>
          <w:color w:val="000000"/>
          <w:sz w:val="24"/>
          <w:szCs w:val="24"/>
          <w:highlight w:val="yellow"/>
          <w:u w:val="single"/>
        </w:rPr>
        <w:t>Payments for interpreting physicians operating outside of California shall be calculated using the GPCI associated with the ZIP code for their location</w:t>
      </w:r>
      <w:r w:rsidR="00FE1AA8">
        <w:rPr>
          <w:rFonts w:ascii="Times New Roman" w:eastAsia="Times New Roman" w:hAnsi="Times New Roman"/>
          <w:color w:val="000000"/>
          <w:sz w:val="24"/>
          <w:szCs w:val="24"/>
          <w:u w:val="single"/>
        </w:rPr>
        <w:t xml:space="preserve">. </w:t>
      </w:r>
    </w:p>
    <w:p w:rsidR="00B10F40" w:rsidRDefault="00B10F40" w:rsidP="00663F0C">
      <w:pPr>
        <w:pStyle w:val="NoSpacing"/>
        <w:rPr>
          <w:rFonts w:ascii="Times New Roman" w:eastAsia="Times New Roman" w:hAnsi="Times New Roman"/>
          <w:color w:val="000000"/>
          <w:sz w:val="24"/>
          <w:szCs w:val="24"/>
        </w:rPr>
      </w:pPr>
    </w:p>
    <w:p w:rsidR="00B10F40" w:rsidRPr="00522007" w:rsidRDefault="00B10F40" w:rsidP="00B10F40">
      <w:pPr>
        <w:pStyle w:val="NoSpacing"/>
        <w:rPr>
          <w:rFonts w:ascii="Times New Roman" w:hAnsi="Times New Roman"/>
          <w:sz w:val="24"/>
          <w:szCs w:val="24"/>
        </w:rPr>
      </w:pPr>
      <w:r>
        <w:t xml:space="preserve">(C) </w:t>
      </w:r>
      <w:r w:rsidRPr="00522007">
        <w:rPr>
          <w:rFonts w:ascii="Times New Roman" w:hAnsi="Times New Roman"/>
          <w:sz w:val="24"/>
          <w:szCs w:val="24"/>
        </w:rPr>
        <w:t xml:space="preserve">Global Surgical Package - Determination of Payment Locality When Services are </w:t>
      </w:r>
      <w:proofErr w:type="gramStart"/>
      <w:r w:rsidRPr="00522007">
        <w:rPr>
          <w:rFonts w:ascii="Times New Roman" w:hAnsi="Times New Roman"/>
          <w:sz w:val="24"/>
          <w:szCs w:val="24"/>
        </w:rPr>
        <w:t>Provided</w:t>
      </w:r>
      <w:proofErr w:type="gramEnd"/>
      <w:r w:rsidRPr="00522007">
        <w:rPr>
          <w:rFonts w:ascii="Times New Roman" w:hAnsi="Times New Roman"/>
          <w:sz w:val="24"/>
          <w:szCs w:val="24"/>
        </w:rPr>
        <w:t xml:space="preserve"> in Different Payment Localities:</w:t>
      </w:r>
    </w:p>
    <w:p w:rsidR="00B10F40" w:rsidRPr="00522007" w:rsidRDefault="00B10F40" w:rsidP="00B10F40">
      <w:pPr>
        <w:pStyle w:val="NoSpacing"/>
        <w:rPr>
          <w:rFonts w:ascii="Times New Roman" w:hAnsi="Times New Roman"/>
          <w:sz w:val="24"/>
          <w:szCs w:val="24"/>
        </w:rPr>
      </w:pPr>
      <w:r w:rsidRPr="00522007">
        <w:rPr>
          <w:rFonts w:ascii="Times New Roman" w:hAnsi="Times New Roman"/>
          <w:sz w:val="24"/>
          <w:szCs w:val="24"/>
        </w:rPr>
        <w:t xml:space="preserve">If portions of the global period are provided in different </w:t>
      </w:r>
      <w:r w:rsidRPr="00DC2C3E">
        <w:rPr>
          <w:rFonts w:ascii="Times New Roman" w:hAnsi="Times New Roman"/>
          <w:strike/>
          <w:sz w:val="24"/>
          <w:szCs w:val="24"/>
          <w:highlight w:val="yellow"/>
        </w:rPr>
        <w:t>payment localities</w:t>
      </w:r>
      <w:r w:rsidR="00DC2C3E">
        <w:rPr>
          <w:rFonts w:ascii="Times New Roman" w:hAnsi="Times New Roman"/>
          <w:sz w:val="24"/>
          <w:szCs w:val="24"/>
        </w:rPr>
        <w:t xml:space="preserve"> </w:t>
      </w:r>
      <w:r w:rsidR="00DC2C3E" w:rsidRPr="00DC2C3E">
        <w:rPr>
          <w:rFonts w:ascii="Times New Roman" w:hAnsi="Times New Roman"/>
          <w:sz w:val="24"/>
          <w:szCs w:val="24"/>
          <w:highlight w:val="yellow"/>
          <w:u w:val="single"/>
        </w:rPr>
        <w:t>locations</w:t>
      </w:r>
      <w:r w:rsidRPr="00522007">
        <w:rPr>
          <w:rFonts w:ascii="Times New Roman" w:hAnsi="Times New Roman"/>
          <w:sz w:val="24"/>
          <w:szCs w:val="24"/>
        </w:rPr>
        <w:t>, the physician</w:t>
      </w:r>
      <w:r w:rsidR="00DC2C3E" w:rsidRPr="00DC2C3E">
        <w:rPr>
          <w:rFonts w:ascii="Times New Roman" w:hAnsi="Times New Roman"/>
          <w:sz w:val="24"/>
          <w:szCs w:val="24"/>
          <w:highlight w:val="yellow"/>
          <w:u w:val="single"/>
        </w:rPr>
        <w:t>(s)</w:t>
      </w:r>
      <w:r w:rsidRPr="00522007">
        <w:rPr>
          <w:rFonts w:ascii="Times New Roman" w:hAnsi="Times New Roman"/>
          <w:sz w:val="24"/>
          <w:szCs w:val="24"/>
        </w:rPr>
        <w:t xml:space="preserve"> must report the name and address, including ZIP code, of the location where the service</w:t>
      </w:r>
      <w:r w:rsidR="00DC2C3E" w:rsidRPr="00DC2C3E">
        <w:rPr>
          <w:rFonts w:ascii="Times New Roman" w:hAnsi="Times New Roman"/>
          <w:sz w:val="24"/>
          <w:szCs w:val="24"/>
          <w:highlight w:val="yellow"/>
          <w:u w:val="single"/>
        </w:rPr>
        <w:t>s</w:t>
      </w:r>
      <w:r w:rsidRPr="00522007">
        <w:rPr>
          <w:rFonts w:ascii="Times New Roman" w:hAnsi="Times New Roman"/>
          <w:sz w:val="24"/>
          <w:szCs w:val="24"/>
        </w:rPr>
        <w:t xml:space="preserve"> </w:t>
      </w:r>
      <w:r w:rsidRPr="00DC2C3E">
        <w:rPr>
          <w:rFonts w:ascii="Times New Roman" w:hAnsi="Times New Roman"/>
          <w:strike/>
          <w:sz w:val="24"/>
          <w:szCs w:val="24"/>
          <w:highlight w:val="yellow"/>
        </w:rPr>
        <w:t>was</w:t>
      </w:r>
      <w:r w:rsidR="00DC2C3E">
        <w:rPr>
          <w:rFonts w:ascii="Times New Roman" w:hAnsi="Times New Roman"/>
          <w:sz w:val="24"/>
          <w:szCs w:val="24"/>
        </w:rPr>
        <w:t xml:space="preserve"> </w:t>
      </w:r>
      <w:r w:rsidR="00DC2C3E" w:rsidRPr="00DC2C3E">
        <w:rPr>
          <w:rFonts w:ascii="Times New Roman" w:hAnsi="Times New Roman"/>
          <w:sz w:val="24"/>
          <w:szCs w:val="24"/>
          <w:highlight w:val="yellow"/>
          <w:u w:val="single"/>
        </w:rPr>
        <w:t>were</w:t>
      </w:r>
      <w:r w:rsidRPr="00522007">
        <w:rPr>
          <w:rFonts w:ascii="Times New Roman" w:hAnsi="Times New Roman"/>
          <w:sz w:val="24"/>
          <w:szCs w:val="24"/>
        </w:rPr>
        <w:t xml:space="preserve"> rendered. </w:t>
      </w:r>
      <w:r w:rsidRPr="00DC2C3E">
        <w:rPr>
          <w:rFonts w:ascii="Times New Roman" w:hAnsi="Times New Roman"/>
          <w:strike/>
          <w:sz w:val="24"/>
          <w:szCs w:val="24"/>
          <w:highlight w:val="yellow"/>
        </w:rPr>
        <w:t>The procedure code for the surgery is billed with modifier -54; and the postoperative care is billed with the procedure code for the surgery with modifier -55. For example, if the surgery is performed in one GPCI locality and the postoperative care is provided in another GPCI locality, the surgery is billed with modifier “- 54” and the payment locality would be where the surgery was performed</w:t>
      </w:r>
      <w:r w:rsidR="006E5D66" w:rsidRPr="00DC2C3E">
        <w:rPr>
          <w:rFonts w:ascii="Times New Roman" w:hAnsi="Times New Roman"/>
          <w:strike/>
          <w:sz w:val="24"/>
          <w:szCs w:val="24"/>
          <w:highlight w:val="yellow"/>
          <w:u w:val="single"/>
        </w:rPr>
        <w:t xml:space="preserve"> and </w:t>
      </w:r>
      <w:r w:rsidRPr="00DC2C3E">
        <w:rPr>
          <w:rFonts w:ascii="Times New Roman" w:hAnsi="Times New Roman"/>
          <w:strike/>
          <w:sz w:val="24"/>
          <w:szCs w:val="24"/>
          <w:highlight w:val="yellow"/>
          <w:u w:val="single"/>
        </w:rPr>
        <w:t>the</w:t>
      </w:r>
      <w:r w:rsidRPr="00DC2C3E">
        <w:rPr>
          <w:rFonts w:ascii="Times New Roman" w:hAnsi="Times New Roman"/>
          <w:strike/>
          <w:sz w:val="24"/>
          <w:szCs w:val="24"/>
          <w:highlight w:val="yellow"/>
        </w:rPr>
        <w:t xml:space="preserve"> postoperative care is billed with modifier “-55” and the payment locality would be where the postoperative care was performed. This is true </w:t>
      </w:r>
      <w:r w:rsidRPr="00DC2C3E">
        <w:rPr>
          <w:rFonts w:ascii="Times New Roman" w:hAnsi="Times New Roman"/>
          <w:strike/>
          <w:sz w:val="24"/>
          <w:szCs w:val="24"/>
          <w:highlight w:val="yellow"/>
          <w:u w:val="single"/>
        </w:rPr>
        <w:t>method applies</w:t>
      </w:r>
      <w:r w:rsidRPr="00DC2C3E">
        <w:rPr>
          <w:rFonts w:ascii="Times New Roman" w:hAnsi="Times New Roman"/>
          <w:strike/>
          <w:sz w:val="24"/>
          <w:szCs w:val="24"/>
          <w:highlight w:val="yellow"/>
        </w:rPr>
        <w:t xml:space="preserve"> whether the services </w:t>
      </w:r>
      <w:proofErr w:type="gramStart"/>
      <w:r w:rsidRPr="00DC2C3E">
        <w:rPr>
          <w:rFonts w:ascii="Times New Roman" w:hAnsi="Times New Roman"/>
          <w:strike/>
          <w:sz w:val="24"/>
          <w:szCs w:val="24"/>
          <w:highlight w:val="yellow"/>
        </w:rPr>
        <w:t xml:space="preserve">were </w:t>
      </w:r>
      <w:r w:rsidRPr="00DC2C3E">
        <w:rPr>
          <w:rFonts w:ascii="Times New Roman" w:hAnsi="Times New Roman"/>
          <w:strike/>
          <w:sz w:val="24"/>
          <w:szCs w:val="24"/>
          <w:highlight w:val="yellow"/>
          <w:u w:val="single"/>
        </w:rPr>
        <w:t>are</w:t>
      </w:r>
      <w:proofErr w:type="gramEnd"/>
      <w:r w:rsidRPr="00DC2C3E">
        <w:rPr>
          <w:rFonts w:ascii="Times New Roman" w:hAnsi="Times New Roman"/>
          <w:strike/>
          <w:sz w:val="24"/>
          <w:szCs w:val="24"/>
          <w:highlight w:val="yellow"/>
        </w:rPr>
        <w:t xml:space="preserve"> performed by the same physician/group or</w:t>
      </w:r>
      <w:r w:rsidRPr="00522007">
        <w:rPr>
          <w:rFonts w:ascii="Times New Roman" w:hAnsi="Times New Roman"/>
          <w:sz w:val="24"/>
          <w:szCs w:val="24"/>
        </w:rPr>
        <w:t xml:space="preserve"> </w:t>
      </w:r>
      <w:r w:rsidRPr="00DC2C3E">
        <w:rPr>
          <w:rFonts w:ascii="Times New Roman" w:hAnsi="Times New Roman"/>
          <w:strike/>
          <w:sz w:val="24"/>
          <w:szCs w:val="24"/>
          <w:highlight w:val="yellow"/>
        </w:rPr>
        <w:t>different physicians/groups</w:t>
      </w:r>
      <w:r w:rsidRPr="00522007">
        <w:rPr>
          <w:rFonts w:ascii="Times New Roman" w:hAnsi="Times New Roman"/>
          <w:sz w:val="24"/>
          <w:szCs w:val="24"/>
        </w:rPr>
        <w:t xml:space="preserve">. See sections 9789.16.2, et seq. for additional billing requirements for global surgeries. </w:t>
      </w:r>
    </w:p>
    <w:p w:rsidR="00B10F40" w:rsidRPr="00663F0C" w:rsidRDefault="00B10F40" w:rsidP="00663F0C">
      <w:pPr>
        <w:pStyle w:val="NoSpacing"/>
        <w:rPr>
          <w:rFonts w:ascii="Times New Roman" w:eastAsia="Times New Roman" w:hAnsi="Times New Roman"/>
          <w:color w:val="000000"/>
          <w:sz w:val="24"/>
          <w:szCs w:val="24"/>
        </w:rPr>
      </w:pPr>
    </w:p>
    <w:p w:rsidR="00663F0C" w:rsidRPr="00B10F40" w:rsidRDefault="00B10F40" w:rsidP="00663F0C">
      <w:pPr>
        <w:spacing w:after="0" w:line="240" w:lineRule="auto"/>
        <w:textAlignment w:val="baseline"/>
        <w:outlineLvl w:val="5"/>
        <w:rPr>
          <w:rFonts w:ascii="Times New Roman" w:eastAsia="Times New Roman" w:hAnsi="Times New Roman"/>
          <w:b/>
          <w:color w:val="000000"/>
          <w:sz w:val="24"/>
          <w:szCs w:val="24"/>
        </w:rPr>
      </w:pPr>
      <w:r w:rsidRPr="00B10F40">
        <w:rPr>
          <w:rFonts w:ascii="Times New Roman" w:eastAsia="Times New Roman" w:hAnsi="Times New Roman"/>
          <w:b/>
          <w:color w:val="000000"/>
          <w:sz w:val="24"/>
          <w:szCs w:val="24"/>
        </w:rPr>
        <w:t>Discussion:</w:t>
      </w:r>
    </w:p>
    <w:p w:rsidR="00B10F40" w:rsidRDefault="00B10F40" w:rsidP="00663F0C">
      <w:pPr>
        <w:spacing w:after="0" w:line="240" w:lineRule="auto"/>
        <w:textAlignment w:val="baseline"/>
        <w:outlineLvl w:val="5"/>
        <w:rPr>
          <w:rFonts w:ascii="Times New Roman" w:eastAsia="Times New Roman" w:hAnsi="Times New Roman"/>
          <w:color w:val="000000"/>
          <w:sz w:val="24"/>
          <w:szCs w:val="24"/>
        </w:rPr>
      </w:pPr>
    </w:p>
    <w:p w:rsidR="0034229A" w:rsidRDefault="006809CE" w:rsidP="00663F0C">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Since it is more likely that a physician may be providing interpretation services from a home office rather than a hotel, the Institute recommends adding clarifying language.</w:t>
      </w:r>
    </w:p>
    <w:p w:rsidR="0034229A" w:rsidRDefault="0034229A" w:rsidP="00663F0C">
      <w:pPr>
        <w:spacing w:after="0" w:line="240" w:lineRule="auto"/>
        <w:textAlignment w:val="baseline"/>
        <w:outlineLvl w:val="5"/>
        <w:rPr>
          <w:rFonts w:ascii="Times New Roman" w:eastAsia="Times New Roman" w:hAnsi="Times New Roman"/>
          <w:i/>
          <w:color w:val="000000"/>
          <w:sz w:val="24"/>
          <w:szCs w:val="24"/>
        </w:rPr>
      </w:pPr>
    </w:p>
    <w:p w:rsidR="006809CE" w:rsidRDefault="0034229A" w:rsidP="00663F0C">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In order to </w:t>
      </w:r>
      <w:r w:rsidR="0061321A">
        <w:rPr>
          <w:rFonts w:ascii="Times New Roman" w:eastAsia="Times New Roman" w:hAnsi="Times New Roman"/>
          <w:i/>
          <w:color w:val="000000"/>
          <w:sz w:val="24"/>
          <w:szCs w:val="24"/>
        </w:rPr>
        <w:t>avoid unnecessary</w:t>
      </w:r>
      <w:r>
        <w:rPr>
          <w:rFonts w:ascii="Times New Roman" w:eastAsia="Times New Roman" w:hAnsi="Times New Roman"/>
          <w:i/>
          <w:color w:val="000000"/>
          <w:sz w:val="24"/>
          <w:szCs w:val="24"/>
        </w:rPr>
        <w:t xml:space="preserve"> billing disputes, </w:t>
      </w:r>
      <w:r w:rsidR="00365821">
        <w:rPr>
          <w:rFonts w:ascii="Times New Roman" w:eastAsia="Times New Roman" w:hAnsi="Times New Roman"/>
          <w:i/>
          <w:color w:val="000000"/>
          <w:sz w:val="24"/>
          <w:szCs w:val="24"/>
        </w:rPr>
        <w:t>the Institute recommends language that</w:t>
      </w:r>
      <w:r w:rsidR="00FE1AA8">
        <w:rPr>
          <w:rFonts w:ascii="Times New Roman" w:eastAsia="Times New Roman" w:hAnsi="Times New Roman"/>
          <w:i/>
          <w:color w:val="000000"/>
          <w:sz w:val="24"/>
          <w:szCs w:val="24"/>
        </w:rPr>
        <w:t xml:space="preserve"> define</w:t>
      </w:r>
      <w:r w:rsidR="00365821">
        <w:rPr>
          <w:rFonts w:ascii="Times New Roman" w:eastAsia="Times New Roman" w:hAnsi="Times New Roman"/>
          <w:i/>
          <w:color w:val="000000"/>
          <w:sz w:val="24"/>
          <w:szCs w:val="24"/>
        </w:rPr>
        <w:t>s</w:t>
      </w:r>
      <w:r w:rsidR="00FE1AA8">
        <w:rPr>
          <w:rFonts w:ascii="Times New Roman" w:eastAsia="Times New Roman" w:hAnsi="Times New Roman"/>
          <w:i/>
          <w:color w:val="000000"/>
          <w:sz w:val="24"/>
          <w:szCs w:val="24"/>
        </w:rPr>
        <w:t xml:space="preserve"> </w:t>
      </w:r>
      <w:r w:rsidR="00365821">
        <w:rPr>
          <w:rFonts w:ascii="Times New Roman" w:eastAsia="Times New Roman" w:hAnsi="Times New Roman"/>
          <w:i/>
          <w:color w:val="000000"/>
          <w:sz w:val="24"/>
          <w:szCs w:val="24"/>
        </w:rPr>
        <w:t xml:space="preserve">the </w:t>
      </w:r>
      <w:r w:rsidR="00FE1AA8">
        <w:rPr>
          <w:rFonts w:ascii="Times New Roman" w:eastAsia="Times New Roman" w:hAnsi="Times New Roman"/>
          <w:i/>
          <w:color w:val="000000"/>
          <w:sz w:val="24"/>
          <w:szCs w:val="24"/>
        </w:rPr>
        <w:t xml:space="preserve">methodology for </w:t>
      </w:r>
      <w:r w:rsidR="00365821">
        <w:rPr>
          <w:rFonts w:ascii="Times New Roman" w:eastAsia="Times New Roman" w:hAnsi="Times New Roman"/>
          <w:i/>
          <w:color w:val="000000"/>
          <w:sz w:val="24"/>
          <w:szCs w:val="24"/>
        </w:rPr>
        <w:t xml:space="preserve">calculating </w:t>
      </w:r>
      <w:r w:rsidR="00FE1AA8">
        <w:rPr>
          <w:rFonts w:ascii="Times New Roman" w:eastAsia="Times New Roman" w:hAnsi="Times New Roman"/>
          <w:i/>
          <w:color w:val="000000"/>
          <w:sz w:val="24"/>
          <w:szCs w:val="24"/>
        </w:rPr>
        <w:t xml:space="preserve">payment when California licensed physicians provide </w:t>
      </w:r>
      <w:proofErr w:type="spellStart"/>
      <w:r w:rsidR="00FE1AA8">
        <w:rPr>
          <w:rFonts w:ascii="Times New Roman" w:eastAsia="Times New Roman" w:hAnsi="Times New Roman"/>
          <w:i/>
          <w:color w:val="000000"/>
          <w:sz w:val="24"/>
          <w:szCs w:val="24"/>
        </w:rPr>
        <w:t>teleradiology</w:t>
      </w:r>
      <w:proofErr w:type="spellEnd"/>
      <w:r w:rsidR="00FE1AA8">
        <w:rPr>
          <w:rFonts w:ascii="Times New Roman" w:eastAsia="Times New Roman" w:hAnsi="Times New Roman"/>
          <w:i/>
          <w:color w:val="000000"/>
          <w:sz w:val="24"/>
          <w:szCs w:val="24"/>
        </w:rPr>
        <w:t xml:space="preserve"> services from locations outside of California.  The simplest methodology would be </w:t>
      </w:r>
      <w:r w:rsidR="00FE1AA8">
        <w:rPr>
          <w:rFonts w:ascii="Times New Roman" w:eastAsia="Times New Roman" w:hAnsi="Times New Roman"/>
          <w:i/>
          <w:color w:val="000000"/>
          <w:sz w:val="24"/>
          <w:szCs w:val="24"/>
        </w:rPr>
        <w:lastRenderedPageBreak/>
        <w:t xml:space="preserve">to use the GPCIs that are already defined in addendum E of the adopted relative value tables.  Alternatively, payment could be calculated based on the location where the technical component of the service was provided. </w:t>
      </w:r>
    </w:p>
    <w:p w:rsidR="00DC2C3E" w:rsidRDefault="00DC2C3E" w:rsidP="00663F0C">
      <w:pPr>
        <w:spacing w:after="0" w:line="240" w:lineRule="auto"/>
        <w:textAlignment w:val="baseline"/>
        <w:outlineLvl w:val="5"/>
        <w:rPr>
          <w:rFonts w:ascii="Times New Roman" w:eastAsia="Times New Roman" w:hAnsi="Times New Roman"/>
          <w:i/>
          <w:color w:val="000000"/>
          <w:sz w:val="24"/>
          <w:szCs w:val="24"/>
        </w:rPr>
      </w:pPr>
    </w:p>
    <w:p w:rsidR="00DC2C3E" w:rsidRDefault="00DC2C3E" w:rsidP="00663F0C">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The requirement to provide the address, including ZIP code, of the location where services are rendered should not be predicated on determining whether or not the payment localities may differ.  The Institute recommends simplifying the language to address all situations where services included in a global surgical package are provided by the same or different physicians.  The use of modifiers -54 and -55 are explained in the referenced </w:t>
      </w:r>
      <w:r w:rsidR="007B282A">
        <w:rPr>
          <w:rFonts w:ascii="Times New Roman" w:eastAsia="Times New Roman" w:hAnsi="Times New Roman"/>
          <w:i/>
          <w:color w:val="000000"/>
          <w:sz w:val="24"/>
          <w:szCs w:val="24"/>
        </w:rPr>
        <w:t>sections “9789.2, et seq.”</w:t>
      </w:r>
    </w:p>
    <w:p w:rsidR="001073E5" w:rsidRDefault="001073E5" w:rsidP="00663F0C">
      <w:pPr>
        <w:spacing w:after="0" w:line="240" w:lineRule="auto"/>
        <w:textAlignment w:val="baseline"/>
        <w:outlineLvl w:val="5"/>
        <w:rPr>
          <w:rFonts w:ascii="Times New Roman" w:eastAsia="Times New Roman" w:hAnsi="Times New Roman"/>
          <w:i/>
          <w:color w:val="000000"/>
          <w:sz w:val="24"/>
          <w:szCs w:val="24"/>
        </w:rPr>
      </w:pPr>
    </w:p>
    <w:p w:rsidR="00742588" w:rsidRDefault="006809CE" w:rsidP="00663F0C">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Additional </w:t>
      </w:r>
      <w:r w:rsidR="001073E5">
        <w:rPr>
          <w:rFonts w:ascii="Times New Roman" w:eastAsia="Times New Roman" w:hAnsi="Times New Roman"/>
          <w:i/>
          <w:color w:val="000000"/>
          <w:sz w:val="24"/>
          <w:szCs w:val="24"/>
        </w:rPr>
        <w:t>recommended revisions</w:t>
      </w:r>
      <w:r>
        <w:rPr>
          <w:rFonts w:ascii="Times New Roman" w:eastAsia="Times New Roman" w:hAnsi="Times New Roman"/>
          <w:i/>
          <w:color w:val="000000"/>
          <w:sz w:val="24"/>
          <w:szCs w:val="24"/>
        </w:rPr>
        <w:t xml:space="preserve"> are grammatical in nature.</w:t>
      </w:r>
    </w:p>
    <w:p w:rsidR="00742588" w:rsidRDefault="00742588" w:rsidP="00663F0C">
      <w:pPr>
        <w:spacing w:after="0" w:line="240" w:lineRule="auto"/>
        <w:textAlignment w:val="baseline"/>
        <w:outlineLvl w:val="5"/>
        <w:rPr>
          <w:rFonts w:ascii="Times New Roman" w:eastAsia="Times New Roman" w:hAnsi="Times New Roman"/>
          <w:i/>
          <w:color w:val="000000"/>
          <w:sz w:val="24"/>
          <w:szCs w:val="24"/>
        </w:rPr>
      </w:pPr>
    </w:p>
    <w:p w:rsidR="00522007" w:rsidRPr="00522007" w:rsidRDefault="00522007" w:rsidP="00663F0C">
      <w:pPr>
        <w:spacing w:after="0" w:line="240" w:lineRule="auto"/>
        <w:textAlignment w:val="baseline"/>
        <w:outlineLvl w:val="5"/>
        <w:rPr>
          <w:rFonts w:ascii="Times New Roman" w:eastAsia="Times New Roman" w:hAnsi="Times New Roman"/>
          <w:b/>
          <w:color w:val="000000"/>
          <w:sz w:val="24"/>
          <w:szCs w:val="24"/>
        </w:rPr>
      </w:pPr>
      <w:r w:rsidRPr="00522007">
        <w:rPr>
          <w:rFonts w:ascii="Times New Roman" w:eastAsia="Times New Roman" w:hAnsi="Times New Roman"/>
          <w:b/>
          <w:color w:val="000000"/>
          <w:sz w:val="24"/>
          <w:szCs w:val="24"/>
        </w:rPr>
        <w:t>Recommendation:</w:t>
      </w:r>
    </w:p>
    <w:p w:rsidR="00522007" w:rsidRDefault="00522007" w:rsidP="00663F0C">
      <w:pPr>
        <w:spacing w:after="0" w:line="240" w:lineRule="auto"/>
        <w:textAlignment w:val="baseline"/>
        <w:outlineLvl w:val="5"/>
        <w:rPr>
          <w:rFonts w:ascii="Times New Roman" w:eastAsia="Times New Roman" w:hAnsi="Times New Roman"/>
          <w:color w:val="000000"/>
          <w:sz w:val="24"/>
          <w:szCs w:val="24"/>
        </w:rPr>
      </w:pPr>
    </w:p>
    <w:p w:rsidR="00522007" w:rsidRPr="00522007" w:rsidRDefault="00522007" w:rsidP="00663F0C">
      <w:pPr>
        <w:spacing w:after="0" w:line="240" w:lineRule="auto"/>
        <w:textAlignment w:val="baseline"/>
        <w:outlineLvl w:val="5"/>
        <w:rPr>
          <w:rFonts w:ascii="Times New Roman" w:eastAsia="Times New Roman" w:hAnsi="Times New Roman"/>
          <w:b/>
          <w:color w:val="000000"/>
          <w:sz w:val="24"/>
          <w:szCs w:val="24"/>
        </w:rPr>
      </w:pPr>
      <w:r w:rsidRPr="00522007">
        <w:rPr>
          <w:rFonts w:ascii="Times New Roman" w:eastAsia="Times New Roman" w:hAnsi="Times New Roman"/>
          <w:b/>
          <w:color w:val="000000"/>
          <w:sz w:val="24"/>
          <w:szCs w:val="24"/>
        </w:rPr>
        <w:t>§9789.16.1 Surgery – Global Fee</w:t>
      </w:r>
    </w:p>
    <w:p w:rsidR="00522007" w:rsidRDefault="00522007" w:rsidP="00663F0C">
      <w:pPr>
        <w:spacing w:after="0" w:line="240" w:lineRule="auto"/>
        <w:textAlignment w:val="baseline"/>
        <w:outlineLvl w:val="5"/>
        <w:rPr>
          <w:rFonts w:ascii="Times New Roman" w:eastAsia="Times New Roman" w:hAnsi="Times New Roman"/>
          <w:color w:val="000000"/>
          <w:sz w:val="24"/>
          <w:szCs w:val="24"/>
        </w:rPr>
      </w:pPr>
    </w:p>
    <w:p w:rsidR="00522007" w:rsidRPr="00522007" w:rsidRDefault="00522007" w:rsidP="00522007">
      <w:pPr>
        <w:rPr>
          <w:rFonts w:ascii="Times New Roman" w:hAnsi="Times New Roman"/>
          <w:sz w:val="24"/>
          <w:szCs w:val="24"/>
        </w:rPr>
      </w:pPr>
      <w:r w:rsidRPr="00522007">
        <w:rPr>
          <w:rFonts w:ascii="Times New Roman" w:eastAsia="Times New Roman" w:hAnsi="Times New Roman"/>
          <w:color w:val="000000"/>
          <w:sz w:val="24"/>
          <w:szCs w:val="24"/>
        </w:rPr>
        <w:t xml:space="preserve">(a)(5) </w:t>
      </w:r>
      <w:r w:rsidRPr="00522007">
        <w:rPr>
          <w:rFonts w:ascii="Times New Roman" w:hAnsi="Times New Roman"/>
          <w:bCs/>
          <w:sz w:val="24"/>
          <w:szCs w:val="24"/>
        </w:rPr>
        <w:t xml:space="preserve">Physicians Furnishing Less </w:t>
      </w:r>
      <w:proofErr w:type="gramStart"/>
      <w:r w:rsidRPr="00522007">
        <w:rPr>
          <w:rFonts w:ascii="Times New Roman" w:hAnsi="Times New Roman"/>
          <w:bCs/>
          <w:sz w:val="24"/>
          <w:szCs w:val="24"/>
        </w:rPr>
        <w:t>Than</w:t>
      </w:r>
      <w:proofErr w:type="gramEnd"/>
      <w:r w:rsidRPr="00522007">
        <w:rPr>
          <w:rFonts w:ascii="Times New Roman" w:hAnsi="Times New Roman"/>
          <w:bCs/>
          <w:sz w:val="24"/>
          <w:szCs w:val="24"/>
        </w:rPr>
        <w:t xml:space="preserve"> the Full Global Package.  </w:t>
      </w:r>
      <w:r w:rsidRPr="00522007">
        <w:rPr>
          <w:rFonts w:ascii="Times New Roman" w:hAnsi="Times New Roman"/>
          <w:sz w:val="24"/>
          <w:szCs w:val="24"/>
        </w:rPr>
        <w:t>There are occasions when more than one physician provides services included in the global surgical package. It may be the case that the physician who performs the surgical procedure does not furnish the follow-up care. Payment for the postoperative, post</w:t>
      </w:r>
      <w:r w:rsidR="001073E5">
        <w:rPr>
          <w:rFonts w:ascii="Times New Roman" w:hAnsi="Times New Roman"/>
          <w:sz w:val="24"/>
          <w:szCs w:val="24"/>
        </w:rPr>
        <w:t>-</w:t>
      </w:r>
      <w:r w:rsidRPr="00522007">
        <w:rPr>
          <w:rFonts w:ascii="Times New Roman" w:hAnsi="Times New Roman"/>
          <w:sz w:val="24"/>
          <w:szCs w:val="24"/>
        </w:rPr>
        <w:t xml:space="preserve">discharge care is split between two or more physicians where the physicians agree on the transfer of care.  When more than one physician furnishes services that are included in the global surgical package, the sum of the amount approved for all physicians may not exceed what would have been paid if a single physician provides all services, except where permitted.  When either modifier </w:t>
      </w:r>
    </w:p>
    <w:p w:rsidR="00522007" w:rsidRPr="00522007" w:rsidRDefault="00522007" w:rsidP="00522007">
      <w:pPr>
        <w:rPr>
          <w:rFonts w:ascii="Times New Roman" w:hAnsi="Times New Roman"/>
          <w:sz w:val="24"/>
          <w:szCs w:val="24"/>
        </w:rPr>
      </w:pPr>
      <w:r w:rsidRPr="00522007">
        <w:rPr>
          <w:rFonts w:ascii="Times New Roman" w:hAnsi="Times New Roman"/>
          <w:sz w:val="24"/>
          <w:szCs w:val="24"/>
        </w:rPr>
        <w:t xml:space="preserve">“-54” or “-55” is </w:t>
      </w:r>
      <w:proofErr w:type="gramStart"/>
      <w:r w:rsidRPr="00522007">
        <w:rPr>
          <w:rFonts w:ascii="Times New Roman" w:hAnsi="Times New Roman"/>
          <w:sz w:val="24"/>
          <w:szCs w:val="24"/>
        </w:rPr>
        <w:t>used,</w:t>
      </w:r>
      <w:proofErr w:type="gramEnd"/>
      <w:r w:rsidRPr="00522007">
        <w:rPr>
          <w:rFonts w:ascii="Times New Roman" w:hAnsi="Times New Roman"/>
          <w:sz w:val="24"/>
          <w:szCs w:val="24"/>
        </w:rPr>
        <w:t xml:space="preserve"> a percentage of the fee schedule is applied as appropriate. The percentages for pre-, intra-, and postoperative care of the total RVUs for major surgical procedures and for minor surgeries with a postoperative period of 10 days may be found in the columns Preoperative Percentage (“Pre Op”), Intraoperative Percentage (“Intra Op”), and Postoperative Percentage (“Post Op”), respectively, of the National Physician Fee Schedule Relative Value File.  The intra-operative percentage includes postoperative hospital visits.  Split global care does apply to procedures with “000” in </w:t>
      </w:r>
      <w:r w:rsidRPr="00522007">
        <w:rPr>
          <w:rFonts w:ascii="Times New Roman" w:hAnsi="Times New Roman"/>
          <w:sz w:val="24"/>
          <w:szCs w:val="24"/>
          <w:highlight w:val="yellow"/>
          <w:u w:val="single"/>
        </w:rPr>
        <w:t>the</w:t>
      </w:r>
      <w:r>
        <w:rPr>
          <w:rFonts w:ascii="Times New Roman" w:hAnsi="Times New Roman"/>
          <w:sz w:val="24"/>
          <w:szCs w:val="24"/>
        </w:rPr>
        <w:t xml:space="preserve"> </w:t>
      </w:r>
      <w:r w:rsidRPr="00012F1B">
        <w:rPr>
          <w:rFonts w:ascii="Times New Roman" w:hAnsi="Times New Roman"/>
          <w:sz w:val="24"/>
          <w:szCs w:val="24"/>
        </w:rPr>
        <w:t>Global Days</w:t>
      </w:r>
      <w:r w:rsidRPr="00522007">
        <w:rPr>
          <w:rFonts w:ascii="Times New Roman" w:hAnsi="Times New Roman"/>
          <w:sz w:val="24"/>
          <w:szCs w:val="24"/>
          <w:u w:val="double"/>
        </w:rPr>
        <w:t xml:space="preserve"> </w:t>
      </w:r>
      <w:r w:rsidRPr="00522007">
        <w:rPr>
          <w:rFonts w:ascii="Times New Roman" w:hAnsi="Times New Roman"/>
          <w:sz w:val="24"/>
          <w:szCs w:val="24"/>
        </w:rPr>
        <w:t>column of the National Physician Fee Schedule Relative Value File.</w:t>
      </w:r>
    </w:p>
    <w:p w:rsidR="00522007" w:rsidRPr="00B10F40" w:rsidRDefault="00522007" w:rsidP="00522007">
      <w:pPr>
        <w:spacing w:after="0" w:line="240" w:lineRule="auto"/>
        <w:textAlignment w:val="baseline"/>
        <w:outlineLvl w:val="5"/>
        <w:rPr>
          <w:rFonts w:ascii="Times New Roman" w:eastAsia="Times New Roman" w:hAnsi="Times New Roman"/>
          <w:b/>
          <w:color w:val="000000"/>
          <w:sz w:val="24"/>
          <w:szCs w:val="24"/>
        </w:rPr>
      </w:pPr>
      <w:r w:rsidRPr="00B10F40">
        <w:rPr>
          <w:rFonts w:ascii="Times New Roman" w:eastAsia="Times New Roman" w:hAnsi="Times New Roman"/>
          <w:b/>
          <w:color w:val="000000"/>
          <w:sz w:val="24"/>
          <w:szCs w:val="24"/>
        </w:rPr>
        <w:t>Discussion:</w:t>
      </w:r>
    </w:p>
    <w:p w:rsidR="00522007" w:rsidRDefault="00522007" w:rsidP="00522007">
      <w:pPr>
        <w:spacing w:after="0" w:line="240" w:lineRule="auto"/>
        <w:textAlignment w:val="baseline"/>
        <w:outlineLvl w:val="5"/>
        <w:rPr>
          <w:rFonts w:ascii="Times New Roman" w:eastAsia="Times New Roman" w:hAnsi="Times New Roman"/>
          <w:color w:val="000000"/>
          <w:sz w:val="24"/>
          <w:szCs w:val="24"/>
        </w:rPr>
      </w:pPr>
    </w:p>
    <w:p w:rsidR="00522007" w:rsidRDefault="00522007" w:rsidP="00522007">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The recommended language revision is grammatical in nature.</w:t>
      </w:r>
    </w:p>
    <w:p w:rsidR="00522007" w:rsidRPr="004915A5" w:rsidRDefault="00522007" w:rsidP="00522007"/>
    <w:p w:rsidR="00522007" w:rsidRPr="00012F1B" w:rsidRDefault="00012F1B" w:rsidP="00522007">
      <w:pPr>
        <w:spacing w:after="0" w:line="240" w:lineRule="auto"/>
        <w:textAlignment w:val="baseline"/>
        <w:outlineLvl w:val="5"/>
        <w:rPr>
          <w:rFonts w:ascii="Times New Roman" w:eastAsia="Times New Roman" w:hAnsi="Times New Roman"/>
          <w:b/>
          <w:color w:val="000000"/>
          <w:sz w:val="24"/>
          <w:szCs w:val="24"/>
        </w:rPr>
      </w:pPr>
      <w:r w:rsidRPr="00012F1B">
        <w:rPr>
          <w:rFonts w:ascii="Times New Roman" w:eastAsia="Times New Roman" w:hAnsi="Times New Roman"/>
          <w:b/>
          <w:color w:val="000000"/>
          <w:sz w:val="24"/>
          <w:szCs w:val="24"/>
        </w:rPr>
        <w:t>§9789.19 Update Table</w:t>
      </w:r>
    </w:p>
    <w:p w:rsidR="00012F1B" w:rsidRDefault="00012F1B" w:rsidP="00522007">
      <w:pPr>
        <w:spacing w:after="0" w:line="240" w:lineRule="auto"/>
        <w:textAlignment w:val="baseline"/>
        <w:outlineLvl w:val="5"/>
        <w:rPr>
          <w:rFonts w:ascii="Times New Roman" w:eastAsia="Times New Roman" w:hAnsi="Times New Roman"/>
          <w:color w:val="000000"/>
          <w:sz w:val="24"/>
          <w:szCs w:val="24"/>
        </w:rPr>
      </w:pPr>
    </w:p>
    <w:p w:rsidR="00012F1B" w:rsidRPr="00522007" w:rsidRDefault="00012F1B" w:rsidP="00522007">
      <w:pPr>
        <w:spacing w:after="0" w:line="240" w:lineRule="auto"/>
        <w:textAlignment w:val="baseline"/>
        <w:outlineLvl w:val="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012F1B" w:rsidRPr="00012F1B" w:rsidTr="002D7CEF">
        <w:tc>
          <w:tcPr>
            <w:tcW w:w="2988" w:type="dxa"/>
            <w:shd w:val="clear" w:color="auto" w:fill="auto"/>
          </w:tcPr>
          <w:p w:rsidR="00012F1B" w:rsidRPr="00012F1B" w:rsidRDefault="00012F1B" w:rsidP="00012F1B">
            <w:pPr>
              <w:spacing w:after="0" w:line="240" w:lineRule="auto"/>
              <w:rPr>
                <w:rFonts w:ascii="Times New Roman" w:eastAsia="Times New Roman" w:hAnsi="Times New Roman"/>
                <w:sz w:val="24"/>
                <w:szCs w:val="24"/>
              </w:rPr>
            </w:pPr>
            <w:r w:rsidRPr="00012F1B">
              <w:rPr>
                <w:rFonts w:ascii="Times New Roman" w:eastAsia="Times New Roman" w:hAnsi="Times New Roman"/>
                <w:sz w:val="24"/>
                <w:szCs w:val="24"/>
              </w:rPr>
              <w:t xml:space="preserve">CCI Edits: </w:t>
            </w:r>
          </w:p>
          <w:p w:rsidR="00012F1B" w:rsidRPr="00012F1B" w:rsidRDefault="00012F1B" w:rsidP="00012F1B">
            <w:pPr>
              <w:spacing w:after="0" w:line="240" w:lineRule="auto"/>
              <w:rPr>
                <w:rFonts w:ascii="Times New Roman" w:eastAsia="Times New Roman" w:hAnsi="Times New Roman"/>
                <w:sz w:val="24"/>
                <w:szCs w:val="24"/>
                <w:highlight w:val="yellow"/>
                <w:u w:val="single"/>
              </w:rPr>
            </w:pPr>
            <w:r w:rsidRPr="00012F1B">
              <w:rPr>
                <w:rFonts w:ascii="Times New Roman" w:eastAsia="Times New Roman" w:hAnsi="Times New Roman"/>
                <w:sz w:val="24"/>
                <w:szCs w:val="24"/>
              </w:rPr>
              <w:t>Medically Unlikely Edits</w:t>
            </w:r>
            <w:r w:rsidRPr="00012F1B">
              <w:rPr>
                <w:rFonts w:ascii="Times New Roman" w:eastAsia="Times New Roman" w:hAnsi="Times New Roman"/>
                <w:sz w:val="24"/>
                <w:szCs w:val="24"/>
                <w:u w:val="single"/>
              </w:rPr>
              <w:t xml:space="preserve"> </w:t>
            </w:r>
          </w:p>
        </w:tc>
        <w:tc>
          <w:tcPr>
            <w:tcW w:w="6210" w:type="dxa"/>
            <w:shd w:val="clear" w:color="auto" w:fill="auto"/>
          </w:tcPr>
          <w:p w:rsidR="00012F1B" w:rsidRPr="00012F1B" w:rsidRDefault="00012F1B" w:rsidP="00012F1B">
            <w:pPr>
              <w:spacing w:after="0" w:line="240" w:lineRule="auto"/>
              <w:rPr>
                <w:rFonts w:ascii="Times New Roman" w:eastAsia="Times New Roman" w:hAnsi="Times New Roman"/>
                <w:sz w:val="24"/>
                <w:szCs w:val="24"/>
              </w:rPr>
            </w:pPr>
            <w:r w:rsidRPr="00012F1B">
              <w:rPr>
                <w:rFonts w:ascii="Times New Roman" w:eastAsia="Times New Roman" w:hAnsi="Times New Roman"/>
                <w:sz w:val="24"/>
                <w:szCs w:val="24"/>
              </w:rPr>
              <w:t>For services rendered on or after January 1, 2019:</w:t>
            </w:r>
          </w:p>
          <w:p w:rsidR="00012F1B" w:rsidRPr="00012F1B" w:rsidRDefault="00012F1B" w:rsidP="00012F1B">
            <w:pPr>
              <w:spacing w:after="0" w:line="240" w:lineRule="auto"/>
              <w:rPr>
                <w:rFonts w:ascii="Times New Roman" w:hAnsi="Times New Roman"/>
                <w:color w:val="000000"/>
                <w:sz w:val="23"/>
                <w:szCs w:val="23"/>
              </w:rPr>
            </w:pPr>
            <w:r w:rsidRPr="00012F1B">
              <w:rPr>
                <w:rFonts w:ascii="Times New Roman" w:hAnsi="Times New Roman"/>
                <w:color w:val="000000"/>
                <w:sz w:val="23"/>
                <w:szCs w:val="23"/>
              </w:rPr>
              <w:t xml:space="preserve">“Practitioner Services MUE Table - Effective 1/1/19,” </w:t>
            </w:r>
            <w:proofErr w:type="spellStart"/>
            <w:r w:rsidRPr="00012F1B">
              <w:rPr>
                <w:rFonts w:ascii="Times New Roman" w:hAnsi="Times New Roman"/>
                <w:strike/>
                <w:color w:val="000000"/>
                <w:sz w:val="23"/>
                <w:szCs w:val="23"/>
                <w:highlight w:val="yellow"/>
              </w:rPr>
              <w:t>E</w:t>
            </w:r>
            <w:r w:rsidRPr="00012F1B">
              <w:rPr>
                <w:rFonts w:ascii="Times New Roman" w:hAnsi="Times New Roman"/>
                <w:color w:val="000000"/>
                <w:sz w:val="23"/>
                <w:szCs w:val="23"/>
                <w:highlight w:val="yellow"/>
                <w:u w:val="single"/>
              </w:rPr>
              <w:t>e</w:t>
            </w:r>
            <w:r w:rsidRPr="00012F1B">
              <w:rPr>
                <w:rFonts w:ascii="Times New Roman" w:hAnsi="Times New Roman"/>
                <w:color w:val="000000"/>
                <w:sz w:val="23"/>
                <w:szCs w:val="23"/>
              </w:rPr>
              <w:t>xcluding</w:t>
            </w:r>
            <w:proofErr w:type="spellEnd"/>
            <w:r w:rsidRPr="00012F1B">
              <w:rPr>
                <w:rFonts w:ascii="Times New Roman" w:hAnsi="Times New Roman"/>
                <w:color w:val="000000"/>
                <w:sz w:val="23"/>
                <w:szCs w:val="23"/>
              </w:rPr>
              <w:t xml:space="preserve"> all codes listed with Practitioner Services MUE Value of “0” (zero).</w:t>
            </w:r>
          </w:p>
          <w:p w:rsidR="00012F1B" w:rsidRPr="00012F1B" w:rsidRDefault="00012F1B" w:rsidP="00012F1B">
            <w:pPr>
              <w:spacing w:after="0" w:line="240" w:lineRule="auto"/>
              <w:rPr>
                <w:rFonts w:ascii="Times New Roman" w:eastAsia="Times New Roman" w:hAnsi="Times New Roman"/>
                <w:sz w:val="24"/>
                <w:szCs w:val="24"/>
              </w:rPr>
            </w:pPr>
          </w:p>
          <w:p w:rsidR="00012F1B" w:rsidRPr="00012F1B" w:rsidRDefault="00012F1B" w:rsidP="00012F1B">
            <w:pPr>
              <w:spacing w:after="0" w:line="240" w:lineRule="auto"/>
              <w:rPr>
                <w:rFonts w:ascii="Times New Roman" w:eastAsia="Times New Roman" w:hAnsi="Times New Roman"/>
                <w:sz w:val="24"/>
                <w:szCs w:val="24"/>
              </w:rPr>
            </w:pPr>
            <w:r w:rsidRPr="00012F1B">
              <w:rPr>
                <w:rFonts w:ascii="Times New Roman" w:eastAsia="Times New Roman" w:hAnsi="Times New Roman"/>
                <w:sz w:val="24"/>
                <w:szCs w:val="24"/>
              </w:rPr>
              <w:t>Excerpt</w:t>
            </w:r>
            <w:r w:rsidRPr="00012F1B">
              <w:rPr>
                <w:rFonts w:ascii="Times New Roman" w:eastAsia="Times New Roman" w:hAnsi="Times New Roman"/>
                <w:sz w:val="24"/>
                <w:szCs w:val="24"/>
                <w:highlight w:val="yellow"/>
                <w:u w:val="single"/>
              </w:rPr>
              <w:t>s</w:t>
            </w:r>
            <w:r w:rsidRPr="00012F1B">
              <w:rPr>
                <w:rFonts w:ascii="Times New Roman" w:eastAsia="Times New Roman" w:hAnsi="Times New Roman"/>
                <w:sz w:val="24"/>
                <w:szCs w:val="24"/>
              </w:rPr>
              <w:t xml:space="preserve"> of the MUE Tables are posted on the </w:t>
            </w:r>
            <w:hyperlink r:id="rId10" w:anchor="7" w:history="1">
              <w:r w:rsidRPr="00012F1B">
                <w:rPr>
                  <w:rFonts w:ascii="Times New Roman" w:eastAsia="Times New Roman" w:hAnsi="Times New Roman"/>
                  <w:color w:val="0000FF"/>
                  <w:sz w:val="24"/>
                  <w:szCs w:val="24"/>
                </w:rPr>
                <w:t>DWC website</w:t>
              </w:r>
            </w:hyperlink>
            <w:r w:rsidRPr="00012F1B">
              <w:rPr>
                <w:rFonts w:ascii="Times New Roman" w:eastAsia="Times New Roman" w:hAnsi="Times New Roman"/>
                <w:sz w:val="24"/>
                <w:szCs w:val="24"/>
              </w:rPr>
              <w:t xml:space="preserve">: http://www.dir.ca.gov/dwc/OMFS9904.htm </w:t>
            </w:r>
          </w:p>
          <w:p w:rsidR="00012F1B" w:rsidRPr="00012F1B" w:rsidRDefault="00012F1B" w:rsidP="00012F1B">
            <w:pPr>
              <w:spacing w:after="0" w:line="240" w:lineRule="auto"/>
              <w:jc w:val="center"/>
              <w:rPr>
                <w:rFonts w:ascii="Times New Roman" w:eastAsia="Times New Roman" w:hAnsi="Times New Roman"/>
                <w:sz w:val="24"/>
                <w:szCs w:val="24"/>
              </w:rPr>
            </w:pPr>
          </w:p>
          <w:p w:rsidR="00012F1B" w:rsidRPr="00012F1B" w:rsidRDefault="00012F1B" w:rsidP="00012F1B">
            <w:pPr>
              <w:spacing w:after="0" w:line="240" w:lineRule="auto"/>
              <w:rPr>
                <w:rFonts w:ascii="Times New Roman" w:eastAsia="Times New Roman" w:hAnsi="Times New Roman"/>
                <w:sz w:val="24"/>
                <w:szCs w:val="24"/>
                <w:highlight w:val="yellow"/>
                <w:u w:val="single"/>
              </w:rPr>
            </w:pPr>
          </w:p>
        </w:tc>
      </w:tr>
    </w:tbl>
    <w:p w:rsidR="00012F1B" w:rsidRPr="00522007" w:rsidRDefault="00012F1B" w:rsidP="00522007">
      <w:pPr>
        <w:spacing w:after="0" w:line="240" w:lineRule="auto"/>
        <w:textAlignment w:val="baseline"/>
        <w:outlineLvl w:val="5"/>
        <w:rPr>
          <w:rFonts w:ascii="Times New Roman" w:eastAsia="Times New Roman" w:hAnsi="Times New Roman"/>
          <w:color w:val="000000"/>
          <w:sz w:val="24"/>
          <w:szCs w:val="24"/>
        </w:rPr>
      </w:pPr>
    </w:p>
    <w:p w:rsidR="00012F1B" w:rsidRPr="00B10F40" w:rsidRDefault="00012F1B" w:rsidP="00012F1B">
      <w:pPr>
        <w:spacing w:after="0" w:line="240" w:lineRule="auto"/>
        <w:textAlignment w:val="baseline"/>
        <w:outlineLvl w:val="5"/>
        <w:rPr>
          <w:rFonts w:ascii="Times New Roman" w:eastAsia="Times New Roman" w:hAnsi="Times New Roman"/>
          <w:b/>
          <w:color w:val="000000"/>
          <w:sz w:val="24"/>
          <w:szCs w:val="24"/>
        </w:rPr>
      </w:pPr>
      <w:r w:rsidRPr="00B10F40">
        <w:rPr>
          <w:rFonts w:ascii="Times New Roman" w:eastAsia="Times New Roman" w:hAnsi="Times New Roman"/>
          <w:b/>
          <w:color w:val="000000"/>
          <w:sz w:val="24"/>
          <w:szCs w:val="24"/>
        </w:rPr>
        <w:t>Discussion:</w:t>
      </w:r>
    </w:p>
    <w:p w:rsidR="00012F1B" w:rsidRDefault="00012F1B" w:rsidP="00012F1B">
      <w:pPr>
        <w:spacing w:after="0" w:line="240" w:lineRule="auto"/>
        <w:textAlignment w:val="baseline"/>
        <w:outlineLvl w:val="5"/>
        <w:rPr>
          <w:rFonts w:ascii="Times New Roman" w:eastAsia="Times New Roman" w:hAnsi="Times New Roman"/>
          <w:color w:val="000000"/>
          <w:sz w:val="24"/>
          <w:szCs w:val="24"/>
        </w:rPr>
      </w:pPr>
    </w:p>
    <w:p w:rsidR="00012F1B" w:rsidRDefault="00012F1B" w:rsidP="00012F1B">
      <w:pPr>
        <w:spacing w:after="0" w:line="240" w:lineRule="auto"/>
        <w:textAlignment w:val="baseline"/>
        <w:outlineLvl w:val="5"/>
        <w:rPr>
          <w:rFonts w:ascii="Times New Roman" w:eastAsia="Times New Roman" w:hAnsi="Times New Roman"/>
          <w:i/>
          <w:color w:val="000000"/>
          <w:sz w:val="24"/>
          <w:szCs w:val="24"/>
        </w:rPr>
      </w:pPr>
      <w:r>
        <w:rPr>
          <w:rFonts w:ascii="Times New Roman" w:eastAsia="Times New Roman" w:hAnsi="Times New Roman"/>
          <w:i/>
          <w:color w:val="000000"/>
          <w:sz w:val="24"/>
          <w:szCs w:val="24"/>
        </w:rPr>
        <w:t>The recommended language revision is grammatical in nature.</w:t>
      </w:r>
    </w:p>
    <w:p w:rsidR="00676352" w:rsidRPr="00676352" w:rsidRDefault="00676352" w:rsidP="004F2313">
      <w:pPr>
        <w:spacing w:after="0" w:line="240" w:lineRule="auto"/>
        <w:textAlignment w:val="baseline"/>
        <w:outlineLvl w:val="5"/>
        <w:rPr>
          <w:rFonts w:ascii="Times New Roman" w:hAnsi="Times New Roman"/>
          <w:sz w:val="10"/>
          <w:szCs w:val="24"/>
        </w:rPr>
      </w:pPr>
    </w:p>
    <w:p w:rsidR="00385B56" w:rsidRDefault="00385B56"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Pr="00974FD5" w:rsidRDefault="00C11606" w:rsidP="00C11606">
      <w:pPr>
        <w:pStyle w:val="MessageHeader"/>
        <w:keepLines w:val="0"/>
        <w:tabs>
          <w:tab w:val="left" w:pos="900"/>
        </w:tabs>
        <w:spacing w:after="0" w:line="240" w:lineRule="auto"/>
        <w:ind w:left="0" w:firstLine="0"/>
        <w:rPr>
          <w:rFonts w:ascii="Times New Roman" w:hAnsi="Times New Roman"/>
          <w:sz w:val="24"/>
          <w:szCs w:val="24"/>
        </w:rPr>
      </w:pPr>
      <w:r w:rsidRPr="00974FD5">
        <w:rPr>
          <w:rFonts w:ascii="Times New Roman" w:hAnsi="Times New Roman"/>
          <w:sz w:val="24"/>
          <w:szCs w:val="24"/>
        </w:rPr>
        <w:t>Thank you for the opportunity to comment, and please contact us if additional information would be helpful.</w:t>
      </w:r>
    </w:p>
    <w:p w:rsidR="00873CEF" w:rsidRPr="00974FD5" w:rsidRDefault="00873CEF" w:rsidP="00C11606">
      <w:pPr>
        <w:pStyle w:val="MessageHeader"/>
        <w:keepLines w:val="0"/>
        <w:tabs>
          <w:tab w:val="left" w:pos="900"/>
        </w:tabs>
        <w:spacing w:after="0" w:line="240" w:lineRule="auto"/>
        <w:ind w:left="0" w:firstLine="0"/>
        <w:rPr>
          <w:rFonts w:ascii="Times New Roman" w:hAnsi="Times New Roman"/>
          <w:sz w:val="24"/>
          <w:szCs w:val="24"/>
        </w:rPr>
      </w:pPr>
    </w:p>
    <w:p w:rsidR="00C11606"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4A278C" w:rsidRDefault="004A278C"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2E298F" w:rsidRDefault="002E298F"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2E298F">
        <w:rPr>
          <w:rFonts w:ascii="Times New Roman" w:hAnsi="Times New Roman"/>
          <w:spacing w:val="0"/>
          <w:sz w:val="24"/>
          <w:szCs w:val="24"/>
        </w:rPr>
        <w:t xml:space="preserve">L. </w:t>
      </w:r>
      <w:r>
        <w:rPr>
          <w:rFonts w:ascii="Times New Roman" w:hAnsi="Times New Roman"/>
          <w:spacing w:val="0"/>
          <w:sz w:val="24"/>
          <w:szCs w:val="24"/>
        </w:rPr>
        <w:t>Jones</w:t>
      </w:r>
    </w:p>
    <w:p w:rsidR="0028572C" w:rsidRDefault="0028572C"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p>
    <w:p w:rsidR="00312416" w:rsidRPr="00C11606" w:rsidRDefault="00312416" w:rsidP="00C11606">
      <w:pPr>
        <w:pStyle w:val="MessageHeader"/>
        <w:keepLines w:val="0"/>
        <w:tabs>
          <w:tab w:val="left" w:pos="900"/>
        </w:tabs>
        <w:spacing w:after="0" w:line="240" w:lineRule="auto"/>
        <w:ind w:left="0" w:firstLine="0"/>
        <w:rPr>
          <w:rFonts w:ascii="Times New Roman" w:hAnsi="Times New Roman"/>
          <w:spacing w:val="0"/>
          <w:sz w:val="24"/>
          <w:szCs w:val="24"/>
        </w:rPr>
      </w:pPr>
    </w:p>
    <w:p w:rsidR="00C11606" w:rsidRPr="008628F9" w:rsidRDefault="002E298F" w:rsidP="00C11606">
      <w:pPr>
        <w:pStyle w:val="MessageHeader"/>
        <w:keepLines w:val="0"/>
        <w:tabs>
          <w:tab w:val="left" w:pos="900"/>
        </w:tabs>
        <w:spacing w:after="0" w:line="240" w:lineRule="auto"/>
        <w:ind w:left="0" w:firstLine="0"/>
        <w:rPr>
          <w:rFonts w:ascii="Times New Roman" w:hAnsi="Times New Roman"/>
          <w:spacing w:val="0"/>
          <w:sz w:val="22"/>
          <w:szCs w:val="22"/>
        </w:rPr>
      </w:pPr>
      <w:r>
        <w:rPr>
          <w:rFonts w:ascii="Times New Roman" w:hAnsi="Times New Roman"/>
          <w:spacing w:val="0"/>
          <w:sz w:val="22"/>
          <w:szCs w:val="22"/>
        </w:rPr>
        <w:t>SLJ</w:t>
      </w:r>
      <w:r w:rsidR="00C11606" w:rsidRPr="008628F9">
        <w:rPr>
          <w:rFonts w:ascii="Times New Roman" w:hAnsi="Times New Roman"/>
          <w:spacing w:val="0"/>
          <w:sz w:val="22"/>
          <w:szCs w:val="22"/>
        </w:rPr>
        <w:t>/pm</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cc:  </w:t>
      </w:r>
      <w:r w:rsidR="0028572C" w:rsidRPr="0028572C">
        <w:rPr>
          <w:rFonts w:ascii="Times New Roman" w:hAnsi="Times New Roman"/>
          <w:spacing w:val="0"/>
          <w:sz w:val="22"/>
          <w:szCs w:val="22"/>
        </w:rPr>
        <w:t>André Schoorl</w:t>
      </w:r>
      <w:r w:rsidRPr="008628F9">
        <w:rPr>
          <w:rFonts w:ascii="Times New Roman" w:hAnsi="Times New Roman"/>
          <w:spacing w:val="0"/>
          <w:sz w:val="22"/>
          <w:szCs w:val="22"/>
        </w:rPr>
        <w:t xml:space="preserve">, DIR </w:t>
      </w:r>
      <w:r w:rsidR="0028572C">
        <w:rPr>
          <w:rFonts w:ascii="Times New Roman" w:hAnsi="Times New Roman"/>
          <w:spacing w:val="0"/>
          <w:sz w:val="22"/>
          <w:szCs w:val="22"/>
        </w:rPr>
        <w:t xml:space="preserve">Acting </w:t>
      </w:r>
      <w:r w:rsidRPr="008628F9">
        <w:rPr>
          <w:rFonts w:ascii="Times New Roman" w:hAnsi="Times New Roman"/>
          <w:spacing w:val="0"/>
          <w:sz w:val="22"/>
          <w:szCs w:val="22"/>
        </w:rPr>
        <w:t>Director</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w:t>
      </w:r>
      <w:r w:rsidR="00676352" w:rsidRPr="008628F9">
        <w:rPr>
          <w:rFonts w:ascii="Times New Roman" w:hAnsi="Times New Roman"/>
          <w:spacing w:val="0"/>
          <w:sz w:val="22"/>
          <w:szCs w:val="22"/>
        </w:rPr>
        <w:t xml:space="preserve">   George Parisotto, DWC </w:t>
      </w:r>
      <w:r w:rsidRPr="008628F9">
        <w:rPr>
          <w:rFonts w:ascii="Times New Roman" w:hAnsi="Times New Roman"/>
          <w:spacing w:val="0"/>
          <w:sz w:val="22"/>
          <w:szCs w:val="22"/>
        </w:rPr>
        <w:t>Administrative Director</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Claims Committee</w:t>
      </w:r>
      <w:bookmarkStart w:id="0" w:name="_GoBack"/>
      <w:bookmarkEnd w:id="0"/>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Medical Care Committee</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Legal Committee </w:t>
      </w:r>
    </w:p>
    <w:p w:rsidR="00C11606" w:rsidRPr="008628F9" w:rsidRDefault="00C11606" w:rsidP="00C11606">
      <w:pPr>
        <w:pStyle w:val="MessageHeader"/>
        <w:keepLines w:val="0"/>
        <w:tabs>
          <w:tab w:val="left" w:pos="900"/>
        </w:tabs>
        <w:spacing w:after="0" w:line="240" w:lineRule="auto"/>
        <w:ind w:left="0" w:firstLine="0"/>
        <w:rPr>
          <w:rFonts w:ascii="Times New Roman" w:hAnsi="Times New Roman"/>
          <w:spacing w:val="0"/>
          <w:sz w:val="22"/>
          <w:szCs w:val="22"/>
        </w:rPr>
      </w:pPr>
      <w:r w:rsidRPr="008628F9">
        <w:rPr>
          <w:rFonts w:ascii="Times New Roman" w:hAnsi="Times New Roman"/>
          <w:spacing w:val="0"/>
          <w:sz w:val="22"/>
          <w:szCs w:val="22"/>
        </w:rPr>
        <w:t xml:space="preserve">       CWCI Regular Members </w:t>
      </w:r>
    </w:p>
    <w:p w:rsidR="006627D2" w:rsidRPr="008628F9" w:rsidRDefault="00C11606" w:rsidP="00974FD5">
      <w:pPr>
        <w:pStyle w:val="MessageHeader"/>
        <w:keepLines w:val="0"/>
        <w:tabs>
          <w:tab w:val="left" w:pos="900"/>
        </w:tabs>
        <w:spacing w:after="0" w:line="240" w:lineRule="auto"/>
        <w:ind w:left="0" w:firstLine="0"/>
        <w:rPr>
          <w:rFonts w:ascii="Times New Roman" w:hAnsi="Times New Roman"/>
          <w:sz w:val="22"/>
          <w:szCs w:val="22"/>
        </w:rPr>
      </w:pPr>
      <w:r w:rsidRPr="008628F9">
        <w:rPr>
          <w:rFonts w:ascii="Times New Roman" w:hAnsi="Times New Roman"/>
          <w:spacing w:val="0"/>
          <w:sz w:val="22"/>
          <w:szCs w:val="22"/>
        </w:rPr>
        <w:t xml:space="preserve">       CWCI Associate Members </w:t>
      </w:r>
    </w:p>
    <w:sectPr w:rsidR="006627D2" w:rsidRPr="008628F9" w:rsidSect="00A5443C">
      <w:headerReference w:type="default" r:id="rId11"/>
      <w:footerReference w:type="default" r:id="rId12"/>
      <w:pgSz w:w="12240" w:h="15840" w:code="1"/>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E9C" w:rsidRDefault="00EA1E9C" w:rsidP="008D7F67">
      <w:pPr>
        <w:spacing w:after="0" w:line="240" w:lineRule="auto"/>
      </w:pPr>
      <w:r>
        <w:separator/>
      </w:r>
    </w:p>
  </w:endnote>
  <w:endnote w:type="continuationSeparator" w:id="0">
    <w:p w:rsidR="00EA1E9C" w:rsidRDefault="00EA1E9C"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6" w:rsidRPr="00D956F8" w:rsidRDefault="000C65D5" w:rsidP="00146096">
    <w:pPr>
      <w:pStyle w:val="Footer"/>
      <w:pBdr>
        <w:top w:val="thinThickSmallGap" w:sz="24" w:space="1" w:color="622423"/>
      </w:pBdr>
      <w:tabs>
        <w:tab w:val="clear" w:pos="4680"/>
      </w:tabs>
      <w:rPr>
        <w:rFonts w:ascii="Cambria" w:eastAsia="Times New Roman" w:hAnsi="Cambria"/>
        <w:sz w:val="20"/>
        <w:szCs w:val="20"/>
      </w:rPr>
    </w:pPr>
    <w:r w:rsidRPr="00D956F8">
      <w:rPr>
        <w:rFonts w:ascii="Cambria" w:eastAsia="Times New Roman" w:hAnsi="Cambria"/>
        <w:sz w:val="20"/>
        <w:szCs w:val="20"/>
      </w:rPr>
      <w:t>Physician and Non-Physician Fee Schedule</w:t>
    </w:r>
    <w:r w:rsidR="004F3016" w:rsidRPr="00D956F8">
      <w:rPr>
        <w:rFonts w:ascii="Cambria" w:eastAsia="Times New Roman" w:hAnsi="Cambria"/>
        <w:sz w:val="20"/>
        <w:szCs w:val="20"/>
      </w:rPr>
      <w:t xml:space="preserve"> Regulations (</w:t>
    </w:r>
    <w:r w:rsidR="00D956F8" w:rsidRPr="00D956F8">
      <w:rPr>
        <w:rFonts w:ascii="Cambria" w:eastAsia="Times New Roman" w:hAnsi="Cambria"/>
        <w:sz w:val="20"/>
        <w:szCs w:val="20"/>
      </w:rPr>
      <w:t>1</w:t>
    </w:r>
    <w:r w:rsidR="00D956F8" w:rsidRPr="00D956F8">
      <w:rPr>
        <w:rFonts w:ascii="Cambria" w:eastAsia="Times New Roman" w:hAnsi="Cambria"/>
        <w:sz w:val="20"/>
        <w:szCs w:val="20"/>
        <w:vertAlign w:val="superscript"/>
      </w:rPr>
      <w:t>st</w:t>
    </w:r>
    <w:r w:rsidR="00D956F8" w:rsidRPr="00D956F8">
      <w:rPr>
        <w:rFonts w:ascii="Cambria" w:eastAsia="Times New Roman" w:hAnsi="Cambria"/>
        <w:sz w:val="20"/>
        <w:szCs w:val="20"/>
      </w:rPr>
      <w:t xml:space="preserve"> </w:t>
    </w:r>
    <w:r w:rsidR="00001ADE" w:rsidRPr="00D956F8">
      <w:rPr>
        <w:rFonts w:ascii="Cambria" w:eastAsia="Times New Roman" w:hAnsi="Cambria"/>
        <w:sz w:val="20"/>
        <w:szCs w:val="20"/>
      </w:rPr>
      <w:t>15-Day Comment</w:t>
    </w:r>
    <w:r w:rsidRPr="00D956F8">
      <w:rPr>
        <w:rFonts w:ascii="Cambria" w:eastAsia="Times New Roman" w:hAnsi="Cambria"/>
        <w:sz w:val="20"/>
        <w:szCs w:val="20"/>
      </w:rPr>
      <w:t>,</w:t>
    </w:r>
    <w:r w:rsidR="00001ADE" w:rsidRPr="00D956F8">
      <w:rPr>
        <w:rFonts w:ascii="Cambria" w:eastAsia="Times New Roman" w:hAnsi="Cambria"/>
        <w:sz w:val="20"/>
        <w:szCs w:val="20"/>
      </w:rPr>
      <w:t xml:space="preserve"> September</w:t>
    </w:r>
    <w:r w:rsidRPr="00D956F8">
      <w:rPr>
        <w:rFonts w:ascii="Cambria" w:eastAsia="Times New Roman" w:hAnsi="Cambria"/>
        <w:sz w:val="20"/>
        <w:szCs w:val="20"/>
      </w:rPr>
      <w:t xml:space="preserve"> 2018</w:t>
    </w:r>
    <w:r w:rsidR="00676352" w:rsidRPr="00D956F8">
      <w:rPr>
        <w:rFonts w:ascii="Cambria" w:eastAsia="Times New Roman" w:hAnsi="Cambria"/>
        <w:sz w:val="20"/>
        <w:szCs w:val="20"/>
      </w:rPr>
      <w:t>)</w:t>
    </w:r>
    <w:r w:rsidR="00146096" w:rsidRPr="00D956F8">
      <w:rPr>
        <w:rFonts w:ascii="Cambria" w:eastAsia="Times New Roman" w:hAnsi="Cambria"/>
        <w:sz w:val="20"/>
        <w:szCs w:val="20"/>
      </w:rPr>
      <w:tab/>
      <w:t xml:space="preserve">Page </w:t>
    </w:r>
    <w:r w:rsidR="00146096" w:rsidRPr="00D956F8">
      <w:rPr>
        <w:rFonts w:eastAsia="Times New Roman"/>
        <w:sz w:val="20"/>
        <w:szCs w:val="20"/>
      </w:rPr>
      <w:fldChar w:fldCharType="begin"/>
    </w:r>
    <w:r w:rsidR="00146096" w:rsidRPr="00D956F8">
      <w:rPr>
        <w:sz w:val="20"/>
        <w:szCs w:val="20"/>
      </w:rPr>
      <w:instrText xml:space="preserve"> PAGE   \* MERGEFORMAT </w:instrText>
    </w:r>
    <w:r w:rsidR="00146096" w:rsidRPr="00D956F8">
      <w:rPr>
        <w:rFonts w:eastAsia="Times New Roman"/>
        <w:sz w:val="20"/>
        <w:szCs w:val="20"/>
      </w:rPr>
      <w:fldChar w:fldCharType="separate"/>
    </w:r>
    <w:r w:rsidR="00EB288A" w:rsidRPr="00EB288A">
      <w:rPr>
        <w:rFonts w:ascii="Cambria" w:eastAsia="Times New Roman" w:hAnsi="Cambria"/>
        <w:noProof/>
        <w:sz w:val="20"/>
        <w:szCs w:val="20"/>
      </w:rPr>
      <w:t>4</w:t>
    </w:r>
    <w:r w:rsidR="00146096" w:rsidRPr="00D956F8">
      <w:rPr>
        <w:rFonts w:ascii="Cambria" w:eastAsia="Times New Roman" w:hAnsi="Cambria"/>
        <w:noProof/>
        <w:sz w:val="20"/>
        <w:szCs w:val="20"/>
      </w:rPr>
      <w:fldChar w:fldCharType="end"/>
    </w:r>
  </w:p>
  <w:p w:rsidR="000C5DBE" w:rsidRDefault="000C5DBE" w:rsidP="002839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E9C" w:rsidRDefault="00EA1E9C" w:rsidP="008D7F67">
      <w:pPr>
        <w:spacing w:after="0" w:line="240" w:lineRule="auto"/>
      </w:pPr>
      <w:r>
        <w:separator/>
      </w:r>
    </w:p>
  </w:footnote>
  <w:footnote w:type="continuationSeparator" w:id="0">
    <w:p w:rsidR="00EA1E9C" w:rsidRDefault="00EA1E9C" w:rsidP="008D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DD" w:rsidRDefault="005422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956B8"/>
    <w:multiLevelType w:val="hybridMultilevel"/>
    <w:tmpl w:val="58320042"/>
    <w:lvl w:ilvl="0" w:tplc="AAFC0B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C55432-697E-4B3F-AA4C-8BCD3145F096}"/>
    <w:docVar w:name="dgnword-eventsink" w:val="243802048"/>
  </w:docVars>
  <w:rsids>
    <w:rsidRoot w:val="008D7F67"/>
    <w:rsid w:val="00001ADE"/>
    <w:rsid w:val="000024BF"/>
    <w:rsid w:val="00005E5F"/>
    <w:rsid w:val="000067B2"/>
    <w:rsid w:val="00006A26"/>
    <w:rsid w:val="0001109F"/>
    <w:rsid w:val="000117BB"/>
    <w:rsid w:val="00012F1B"/>
    <w:rsid w:val="00013132"/>
    <w:rsid w:val="00014184"/>
    <w:rsid w:val="00014798"/>
    <w:rsid w:val="00015D69"/>
    <w:rsid w:val="00017274"/>
    <w:rsid w:val="000214C8"/>
    <w:rsid w:val="000217AD"/>
    <w:rsid w:val="00023B39"/>
    <w:rsid w:val="00034FB4"/>
    <w:rsid w:val="0003539F"/>
    <w:rsid w:val="000359AD"/>
    <w:rsid w:val="000428C6"/>
    <w:rsid w:val="00045E6E"/>
    <w:rsid w:val="00046538"/>
    <w:rsid w:val="00046DEF"/>
    <w:rsid w:val="00050B84"/>
    <w:rsid w:val="00050BD3"/>
    <w:rsid w:val="00051090"/>
    <w:rsid w:val="00053AF0"/>
    <w:rsid w:val="0005480A"/>
    <w:rsid w:val="00054E1F"/>
    <w:rsid w:val="00056015"/>
    <w:rsid w:val="00063BF5"/>
    <w:rsid w:val="000644E0"/>
    <w:rsid w:val="00074592"/>
    <w:rsid w:val="000746F8"/>
    <w:rsid w:val="000828BA"/>
    <w:rsid w:val="00085B7B"/>
    <w:rsid w:val="0008660E"/>
    <w:rsid w:val="0009031B"/>
    <w:rsid w:val="000910FD"/>
    <w:rsid w:val="00091BE8"/>
    <w:rsid w:val="0009292B"/>
    <w:rsid w:val="00092EB5"/>
    <w:rsid w:val="000954F5"/>
    <w:rsid w:val="000972F8"/>
    <w:rsid w:val="000A1F38"/>
    <w:rsid w:val="000A2F32"/>
    <w:rsid w:val="000A56B6"/>
    <w:rsid w:val="000A5EA4"/>
    <w:rsid w:val="000A64BA"/>
    <w:rsid w:val="000B0EDD"/>
    <w:rsid w:val="000B203C"/>
    <w:rsid w:val="000B4588"/>
    <w:rsid w:val="000B4643"/>
    <w:rsid w:val="000B467A"/>
    <w:rsid w:val="000B73F3"/>
    <w:rsid w:val="000C0013"/>
    <w:rsid w:val="000C133B"/>
    <w:rsid w:val="000C574B"/>
    <w:rsid w:val="000C5C6C"/>
    <w:rsid w:val="000C5DBE"/>
    <w:rsid w:val="000C6308"/>
    <w:rsid w:val="000C65D5"/>
    <w:rsid w:val="000C7EC0"/>
    <w:rsid w:val="000D0508"/>
    <w:rsid w:val="000D0C65"/>
    <w:rsid w:val="000D3527"/>
    <w:rsid w:val="000D5712"/>
    <w:rsid w:val="000D71E5"/>
    <w:rsid w:val="000D7AF3"/>
    <w:rsid w:val="000E05C0"/>
    <w:rsid w:val="000E05CA"/>
    <w:rsid w:val="000E1E42"/>
    <w:rsid w:val="000E4493"/>
    <w:rsid w:val="000E5649"/>
    <w:rsid w:val="000F008C"/>
    <w:rsid w:val="000F0FCC"/>
    <w:rsid w:val="000F3925"/>
    <w:rsid w:val="000F4946"/>
    <w:rsid w:val="000F4D73"/>
    <w:rsid w:val="00100701"/>
    <w:rsid w:val="0010391B"/>
    <w:rsid w:val="001065FD"/>
    <w:rsid w:val="001073E5"/>
    <w:rsid w:val="00110DC5"/>
    <w:rsid w:val="001116DD"/>
    <w:rsid w:val="00112561"/>
    <w:rsid w:val="00112773"/>
    <w:rsid w:val="00120E11"/>
    <w:rsid w:val="00124485"/>
    <w:rsid w:val="00124501"/>
    <w:rsid w:val="001309BE"/>
    <w:rsid w:val="00132924"/>
    <w:rsid w:val="001332BA"/>
    <w:rsid w:val="00134457"/>
    <w:rsid w:val="001358AE"/>
    <w:rsid w:val="00137C8B"/>
    <w:rsid w:val="00140C38"/>
    <w:rsid w:val="00144D13"/>
    <w:rsid w:val="00145093"/>
    <w:rsid w:val="001452C9"/>
    <w:rsid w:val="00146096"/>
    <w:rsid w:val="001519BB"/>
    <w:rsid w:val="00152DA3"/>
    <w:rsid w:val="001536D2"/>
    <w:rsid w:val="00161D8E"/>
    <w:rsid w:val="00163EC4"/>
    <w:rsid w:val="00170565"/>
    <w:rsid w:val="00170859"/>
    <w:rsid w:val="0018154F"/>
    <w:rsid w:val="00181D82"/>
    <w:rsid w:val="00183760"/>
    <w:rsid w:val="001861DE"/>
    <w:rsid w:val="00186E9A"/>
    <w:rsid w:val="001900C1"/>
    <w:rsid w:val="00190556"/>
    <w:rsid w:val="00192E79"/>
    <w:rsid w:val="00194B8A"/>
    <w:rsid w:val="00195329"/>
    <w:rsid w:val="0019566A"/>
    <w:rsid w:val="001A027A"/>
    <w:rsid w:val="001A6E0B"/>
    <w:rsid w:val="001B2A88"/>
    <w:rsid w:val="001B48A8"/>
    <w:rsid w:val="001B4E18"/>
    <w:rsid w:val="001B5F26"/>
    <w:rsid w:val="001B6BA9"/>
    <w:rsid w:val="001B7783"/>
    <w:rsid w:val="001C1797"/>
    <w:rsid w:val="001C2085"/>
    <w:rsid w:val="001C2669"/>
    <w:rsid w:val="001C6382"/>
    <w:rsid w:val="001C6AEC"/>
    <w:rsid w:val="001C7360"/>
    <w:rsid w:val="001D1EB1"/>
    <w:rsid w:val="001D2A5B"/>
    <w:rsid w:val="001D636B"/>
    <w:rsid w:val="001D72E1"/>
    <w:rsid w:val="001E23F5"/>
    <w:rsid w:val="001E4328"/>
    <w:rsid w:val="001E7E57"/>
    <w:rsid w:val="001F0159"/>
    <w:rsid w:val="001F2647"/>
    <w:rsid w:val="001F265F"/>
    <w:rsid w:val="001F61FE"/>
    <w:rsid w:val="00201619"/>
    <w:rsid w:val="00201F8A"/>
    <w:rsid w:val="00207409"/>
    <w:rsid w:val="00207F57"/>
    <w:rsid w:val="002113F6"/>
    <w:rsid w:val="002148F7"/>
    <w:rsid w:val="00217044"/>
    <w:rsid w:val="002177AA"/>
    <w:rsid w:val="00217C0C"/>
    <w:rsid w:val="00220019"/>
    <w:rsid w:val="0022006A"/>
    <w:rsid w:val="002209AA"/>
    <w:rsid w:val="002222EB"/>
    <w:rsid w:val="00224D17"/>
    <w:rsid w:val="00227EE8"/>
    <w:rsid w:val="00232515"/>
    <w:rsid w:val="00234987"/>
    <w:rsid w:val="00235A5D"/>
    <w:rsid w:val="002363CA"/>
    <w:rsid w:val="00241318"/>
    <w:rsid w:val="00243B98"/>
    <w:rsid w:val="00246BCC"/>
    <w:rsid w:val="00246D9C"/>
    <w:rsid w:val="00246E41"/>
    <w:rsid w:val="00247CF9"/>
    <w:rsid w:val="00251329"/>
    <w:rsid w:val="0025156D"/>
    <w:rsid w:val="00251B7C"/>
    <w:rsid w:val="00253324"/>
    <w:rsid w:val="00253683"/>
    <w:rsid w:val="00255F77"/>
    <w:rsid w:val="00257CCC"/>
    <w:rsid w:val="00260547"/>
    <w:rsid w:val="00261E1D"/>
    <w:rsid w:val="00270073"/>
    <w:rsid w:val="0027177D"/>
    <w:rsid w:val="00271CE8"/>
    <w:rsid w:val="002720AA"/>
    <w:rsid w:val="00272645"/>
    <w:rsid w:val="00276CCD"/>
    <w:rsid w:val="00280130"/>
    <w:rsid w:val="00283992"/>
    <w:rsid w:val="00284CE9"/>
    <w:rsid w:val="0028572C"/>
    <w:rsid w:val="00285F2E"/>
    <w:rsid w:val="002868C6"/>
    <w:rsid w:val="00287706"/>
    <w:rsid w:val="00287A09"/>
    <w:rsid w:val="00287BFC"/>
    <w:rsid w:val="00291D91"/>
    <w:rsid w:val="00294780"/>
    <w:rsid w:val="00295C29"/>
    <w:rsid w:val="00297B7F"/>
    <w:rsid w:val="002A0977"/>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D7CEF"/>
    <w:rsid w:val="002E298F"/>
    <w:rsid w:val="002E3C54"/>
    <w:rsid w:val="002F0BFB"/>
    <w:rsid w:val="002F0EA2"/>
    <w:rsid w:val="002F0F12"/>
    <w:rsid w:val="002F352D"/>
    <w:rsid w:val="002F5981"/>
    <w:rsid w:val="002F59BC"/>
    <w:rsid w:val="002F67ED"/>
    <w:rsid w:val="002F76DB"/>
    <w:rsid w:val="00300407"/>
    <w:rsid w:val="00302E9A"/>
    <w:rsid w:val="00312416"/>
    <w:rsid w:val="003175B7"/>
    <w:rsid w:val="00323358"/>
    <w:rsid w:val="00326745"/>
    <w:rsid w:val="003267B4"/>
    <w:rsid w:val="00326A4C"/>
    <w:rsid w:val="00331C3C"/>
    <w:rsid w:val="00333765"/>
    <w:rsid w:val="003340A2"/>
    <w:rsid w:val="00342146"/>
    <w:rsid w:val="0034229A"/>
    <w:rsid w:val="00342D34"/>
    <w:rsid w:val="0034607B"/>
    <w:rsid w:val="00353ADC"/>
    <w:rsid w:val="00357080"/>
    <w:rsid w:val="0036177D"/>
    <w:rsid w:val="003638F6"/>
    <w:rsid w:val="00364170"/>
    <w:rsid w:val="003642ED"/>
    <w:rsid w:val="00364D1E"/>
    <w:rsid w:val="00365821"/>
    <w:rsid w:val="00371839"/>
    <w:rsid w:val="00373915"/>
    <w:rsid w:val="00374D0E"/>
    <w:rsid w:val="00375EDB"/>
    <w:rsid w:val="0037731D"/>
    <w:rsid w:val="003805D9"/>
    <w:rsid w:val="003809F8"/>
    <w:rsid w:val="003838B6"/>
    <w:rsid w:val="00385B56"/>
    <w:rsid w:val="0038631E"/>
    <w:rsid w:val="00391175"/>
    <w:rsid w:val="003914A6"/>
    <w:rsid w:val="00391794"/>
    <w:rsid w:val="0039390E"/>
    <w:rsid w:val="003A10D7"/>
    <w:rsid w:val="003A209A"/>
    <w:rsid w:val="003A2D3B"/>
    <w:rsid w:val="003A7D1B"/>
    <w:rsid w:val="003B02A5"/>
    <w:rsid w:val="003B1D55"/>
    <w:rsid w:val="003B45A7"/>
    <w:rsid w:val="003B5CFD"/>
    <w:rsid w:val="003C0A61"/>
    <w:rsid w:val="003C14E1"/>
    <w:rsid w:val="003C2F07"/>
    <w:rsid w:val="003C74CF"/>
    <w:rsid w:val="003D25FB"/>
    <w:rsid w:val="003D3421"/>
    <w:rsid w:val="003D3CF0"/>
    <w:rsid w:val="003D53CB"/>
    <w:rsid w:val="003E5655"/>
    <w:rsid w:val="003E56AF"/>
    <w:rsid w:val="003E6069"/>
    <w:rsid w:val="003F20B3"/>
    <w:rsid w:val="003F3D49"/>
    <w:rsid w:val="003F4A5E"/>
    <w:rsid w:val="003F741D"/>
    <w:rsid w:val="003F7AF3"/>
    <w:rsid w:val="0040277C"/>
    <w:rsid w:val="004055A9"/>
    <w:rsid w:val="00406ECD"/>
    <w:rsid w:val="00412711"/>
    <w:rsid w:val="00420434"/>
    <w:rsid w:val="004220A2"/>
    <w:rsid w:val="00423707"/>
    <w:rsid w:val="00424E6B"/>
    <w:rsid w:val="00425D03"/>
    <w:rsid w:val="00426083"/>
    <w:rsid w:val="00426547"/>
    <w:rsid w:val="00426A86"/>
    <w:rsid w:val="00426C83"/>
    <w:rsid w:val="00431593"/>
    <w:rsid w:val="00436F24"/>
    <w:rsid w:val="004376EC"/>
    <w:rsid w:val="00441502"/>
    <w:rsid w:val="00443BE2"/>
    <w:rsid w:val="0044437B"/>
    <w:rsid w:val="00446BE7"/>
    <w:rsid w:val="00451D26"/>
    <w:rsid w:val="00452D1A"/>
    <w:rsid w:val="00454494"/>
    <w:rsid w:val="0045682F"/>
    <w:rsid w:val="0046389E"/>
    <w:rsid w:val="00464EC1"/>
    <w:rsid w:val="00467AA3"/>
    <w:rsid w:val="0047607F"/>
    <w:rsid w:val="00476BC6"/>
    <w:rsid w:val="0047740F"/>
    <w:rsid w:val="004802AF"/>
    <w:rsid w:val="00483689"/>
    <w:rsid w:val="00484666"/>
    <w:rsid w:val="004855A2"/>
    <w:rsid w:val="00486FD5"/>
    <w:rsid w:val="004872CD"/>
    <w:rsid w:val="004876D1"/>
    <w:rsid w:val="00491296"/>
    <w:rsid w:val="004928FD"/>
    <w:rsid w:val="00492FFD"/>
    <w:rsid w:val="00495397"/>
    <w:rsid w:val="00496B4F"/>
    <w:rsid w:val="004A06C1"/>
    <w:rsid w:val="004A22D8"/>
    <w:rsid w:val="004A2625"/>
    <w:rsid w:val="004A278C"/>
    <w:rsid w:val="004A3149"/>
    <w:rsid w:val="004A3C99"/>
    <w:rsid w:val="004A41FA"/>
    <w:rsid w:val="004A61A2"/>
    <w:rsid w:val="004A70EC"/>
    <w:rsid w:val="004B1123"/>
    <w:rsid w:val="004B443D"/>
    <w:rsid w:val="004B71FA"/>
    <w:rsid w:val="004C069A"/>
    <w:rsid w:val="004C1C64"/>
    <w:rsid w:val="004C4F29"/>
    <w:rsid w:val="004D131B"/>
    <w:rsid w:val="004D247A"/>
    <w:rsid w:val="004D4B64"/>
    <w:rsid w:val="004D5D9E"/>
    <w:rsid w:val="004E0190"/>
    <w:rsid w:val="004E1E93"/>
    <w:rsid w:val="004E2A82"/>
    <w:rsid w:val="004E329F"/>
    <w:rsid w:val="004E3B9A"/>
    <w:rsid w:val="004F03DA"/>
    <w:rsid w:val="004F060E"/>
    <w:rsid w:val="004F2313"/>
    <w:rsid w:val="004F3016"/>
    <w:rsid w:val="004F4381"/>
    <w:rsid w:val="004F5F05"/>
    <w:rsid w:val="00514569"/>
    <w:rsid w:val="00515ABD"/>
    <w:rsid w:val="00515D4E"/>
    <w:rsid w:val="00517A28"/>
    <w:rsid w:val="00522007"/>
    <w:rsid w:val="00522209"/>
    <w:rsid w:val="005249B8"/>
    <w:rsid w:val="005252AF"/>
    <w:rsid w:val="00533060"/>
    <w:rsid w:val="005336C4"/>
    <w:rsid w:val="00537C8F"/>
    <w:rsid w:val="005417CA"/>
    <w:rsid w:val="005422DD"/>
    <w:rsid w:val="00544B4B"/>
    <w:rsid w:val="005535DF"/>
    <w:rsid w:val="00553A2F"/>
    <w:rsid w:val="00553A55"/>
    <w:rsid w:val="00553B83"/>
    <w:rsid w:val="00554A50"/>
    <w:rsid w:val="00555DAE"/>
    <w:rsid w:val="0055721A"/>
    <w:rsid w:val="00561BD1"/>
    <w:rsid w:val="00561BDC"/>
    <w:rsid w:val="0056275D"/>
    <w:rsid w:val="00563251"/>
    <w:rsid w:val="00564419"/>
    <w:rsid w:val="005700C5"/>
    <w:rsid w:val="0057036C"/>
    <w:rsid w:val="00571D9F"/>
    <w:rsid w:val="00574FD2"/>
    <w:rsid w:val="005771C0"/>
    <w:rsid w:val="00577EEE"/>
    <w:rsid w:val="00583C0C"/>
    <w:rsid w:val="005921F4"/>
    <w:rsid w:val="00593ADB"/>
    <w:rsid w:val="005941A1"/>
    <w:rsid w:val="005A2A71"/>
    <w:rsid w:val="005B1439"/>
    <w:rsid w:val="005B2228"/>
    <w:rsid w:val="005B2755"/>
    <w:rsid w:val="005B4390"/>
    <w:rsid w:val="005B7319"/>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7D0"/>
    <w:rsid w:val="006119FD"/>
    <w:rsid w:val="00611EF0"/>
    <w:rsid w:val="00612DF5"/>
    <w:rsid w:val="0061321A"/>
    <w:rsid w:val="0061488B"/>
    <w:rsid w:val="006162AC"/>
    <w:rsid w:val="0061726E"/>
    <w:rsid w:val="00617284"/>
    <w:rsid w:val="00617FDC"/>
    <w:rsid w:val="0062339A"/>
    <w:rsid w:val="00623A5A"/>
    <w:rsid w:val="00625316"/>
    <w:rsid w:val="006348A6"/>
    <w:rsid w:val="00634B27"/>
    <w:rsid w:val="00640114"/>
    <w:rsid w:val="00641137"/>
    <w:rsid w:val="00644ED0"/>
    <w:rsid w:val="006456F3"/>
    <w:rsid w:val="0064716C"/>
    <w:rsid w:val="006478FB"/>
    <w:rsid w:val="00650914"/>
    <w:rsid w:val="00655394"/>
    <w:rsid w:val="006554AD"/>
    <w:rsid w:val="006561BC"/>
    <w:rsid w:val="00660206"/>
    <w:rsid w:val="006627D2"/>
    <w:rsid w:val="006628B8"/>
    <w:rsid w:val="00663CB9"/>
    <w:rsid w:val="00663F0C"/>
    <w:rsid w:val="006643DF"/>
    <w:rsid w:val="0066622A"/>
    <w:rsid w:val="0066672A"/>
    <w:rsid w:val="0067334C"/>
    <w:rsid w:val="006733AA"/>
    <w:rsid w:val="00676352"/>
    <w:rsid w:val="006771B1"/>
    <w:rsid w:val="006779A0"/>
    <w:rsid w:val="00677AF0"/>
    <w:rsid w:val="006809CE"/>
    <w:rsid w:val="00682928"/>
    <w:rsid w:val="00684207"/>
    <w:rsid w:val="00685515"/>
    <w:rsid w:val="00690596"/>
    <w:rsid w:val="006908FB"/>
    <w:rsid w:val="00692EFE"/>
    <w:rsid w:val="006A0BCD"/>
    <w:rsid w:val="006A0BDB"/>
    <w:rsid w:val="006A295D"/>
    <w:rsid w:val="006A4235"/>
    <w:rsid w:val="006A479B"/>
    <w:rsid w:val="006A5D17"/>
    <w:rsid w:val="006A7F5F"/>
    <w:rsid w:val="006A7FA4"/>
    <w:rsid w:val="006B09AB"/>
    <w:rsid w:val="006B7067"/>
    <w:rsid w:val="006C5E3A"/>
    <w:rsid w:val="006C66A6"/>
    <w:rsid w:val="006C6A14"/>
    <w:rsid w:val="006C77FF"/>
    <w:rsid w:val="006D12D5"/>
    <w:rsid w:val="006D180E"/>
    <w:rsid w:val="006D4AAB"/>
    <w:rsid w:val="006E1160"/>
    <w:rsid w:val="006E4B02"/>
    <w:rsid w:val="006E51E9"/>
    <w:rsid w:val="006E5348"/>
    <w:rsid w:val="006E5D66"/>
    <w:rsid w:val="006E622B"/>
    <w:rsid w:val="006E6650"/>
    <w:rsid w:val="006F22DE"/>
    <w:rsid w:val="006F5C7C"/>
    <w:rsid w:val="007011A9"/>
    <w:rsid w:val="00705BEF"/>
    <w:rsid w:val="00707510"/>
    <w:rsid w:val="00707D8F"/>
    <w:rsid w:val="00717E61"/>
    <w:rsid w:val="00720343"/>
    <w:rsid w:val="00720EF6"/>
    <w:rsid w:val="00722334"/>
    <w:rsid w:val="00722B45"/>
    <w:rsid w:val="0072794C"/>
    <w:rsid w:val="007320BC"/>
    <w:rsid w:val="007323CB"/>
    <w:rsid w:val="007371FF"/>
    <w:rsid w:val="00737EAB"/>
    <w:rsid w:val="00742588"/>
    <w:rsid w:val="00742EF3"/>
    <w:rsid w:val="007433BC"/>
    <w:rsid w:val="00743E37"/>
    <w:rsid w:val="00752E14"/>
    <w:rsid w:val="00755FD9"/>
    <w:rsid w:val="00761EA3"/>
    <w:rsid w:val="00761F2C"/>
    <w:rsid w:val="007626E6"/>
    <w:rsid w:val="00763D09"/>
    <w:rsid w:val="0076750C"/>
    <w:rsid w:val="00770B02"/>
    <w:rsid w:val="00773416"/>
    <w:rsid w:val="00774FF6"/>
    <w:rsid w:val="00777F84"/>
    <w:rsid w:val="007816FC"/>
    <w:rsid w:val="007826B2"/>
    <w:rsid w:val="007871EE"/>
    <w:rsid w:val="007909D0"/>
    <w:rsid w:val="00791974"/>
    <w:rsid w:val="00791F1C"/>
    <w:rsid w:val="00793B4A"/>
    <w:rsid w:val="0079468D"/>
    <w:rsid w:val="007A0766"/>
    <w:rsid w:val="007A44F6"/>
    <w:rsid w:val="007A5201"/>
    <w:rsid w:val="007B0720"/>
    <w:rsid w:val="007B1BE2"/>
    <w:rsid w:val="007B2229"/>
    <w:rsid w:val="007B282A"/>
    <w:rsid w:val="007B5E26"/>
    <w:rsid w:val="007C1B08"/>
    <w:rsid w:val="007C591E"/>
    <w:rsid w:val="007C5F04"/>
    <w:rsid w:val="007D0E14"/>
    <w:rsid w:val="007D7C73"/>
    <w:rsid w:val="007E0F42"/>
    <w:rsid w:val="007E17B7"/>
    <w:rsid w:val="007E214B"/>
    <w:rsid w:val="007E2B04"/>
    <w:rsid w:val="007E3057"/>
    <w:rsid w:val="007E393D"/>
    <w:rsid w:val="007F0065"/>
    <w:rsid w:val="007F1748"/>
    <w:rsid w:val="007F3CF8"/>
    <w:rsid w:val="007F5EA7"/>
    <w:rsid w:val="00807309"/>
    <w:rsid w:val="0082120D"/>
    <w:rsid w:val="00822CF6"/>
    <w:rsid w:val="00823A83"/>
    <w:rsid w:val="00826D81"/>
    <w:rsid w:val="008305F9"/>
    <w:rsid w:val="00830CB6"/>
    <w:rsid w:val="008316D9"/>
    <w:rsid w:val="00834292"/>
    <w:rsid w:val="008363A7"/>
    <w:rsid w:val="008407F8"/>
    <w:rsid w:val="00841B57"/>
    <w:rsid w:val="00842E69"/>
    <w:rsid w:val="00843072"/>
    <w:rsid w:val="00843E02"/>
    <w:rsid w:val="00844126"/>
    <w:rsid w:val="008472F8"/>
    <w:rsid w:val="00850AF8"/>
    <w:rsid w:val="00852D2B"/>
    <w:rsid w:val="00854E13"/>
    <w:rsid w:val="00854E5E"/>
    <w:rsid w:val="00855C92"/>
    <w:rsid w:val="0086054B"/>
    <w:rsid w:val="00860EF5"/>
    <w:rsid w:val="008628F9"/>
    <w:rsid w:val="00863567"/>
    <w:rsid w:val="0086365D"/>
    <w:rsid w:val="008648FC"/>
    <w:rsid w:val="00866CF8"/>
    <w:rsid w:val="00866D51"/>
    <w:rsid w:val="00873192"/>
    <w:rsid w:val="00873CEF"/>
    <w:rsid w:val="008811D3"/>
    <w:rsid w:val="0088176A"/>
    <w:rsid w:val="00882225"/>
    <w:rsid w:val="0088406B"/>
    <w:rsid w:val="00884B3E"/>
    <w:rsid w:val="00885841"/>
    <w:rsid w:val="00886E29"/>
    <w:rsid w:val="00887A75"/>
    <w:rsid w:val="008938F1"/>
    <w:rsid w:val="008A1CB9"/>
    <w:rsid w:val="008A4916"/>
    <w:rsid w:val="008A5372"/>
    <w:rsid w:val="008B1F86"/>
    <w:rsid w:val="008B2EB4"/>
    <w:rsid w:val="008B3928"/>
    <w:rsid w:val="008B3CBE"/>
    <w:rsid w:val="008C04A4"/>
    <w:rsid w:val="008C2C5F"/>
    <w:rsid w:val="008C485B"/>
    <w:rsid w:val="008C5CB1"/>
    <w:rsid w:val="008C6763"/>
    <w:rsid w:val="008D0CB4"/>
    <w:rsid w:val="008D6349"/>
    <w:rsid w:val="008D7F67"/>
    <w:rsid w:val="008E2A9C"/>
    <w:rsid w:val="008E3381"/>
    <w:rsid w:val="008E3C19"/>
    <w:rsid w:val="008E413C"/>
    <w:rsid w:val="008E4C7D"/>
    <w:rsid w:val="008E543C"/>
    <w:rsid w:val="008E5A53"/>
    <w:rsid w:val="008E7ED6"/>
    <w:rsid w:val="008F1040"/>
    <w:rsid w:val="008F147D"/>
    <w:rsid w:val="008F32A1"/>
    <w:rsid w:val="008F3A73"/>
    <w:rsid w:val="008F6B72"/>
    <w:rsid w:val="008F6CBB"/>
    <w:rsid w:val="008F7A60"/>
    <w:rsid w:val="00901D6C"/>
    <w:rsid w:val="00911739"/>
    <w:rsid w:val="009135A6"/>
    <w:rsid w:val="00923695"/>
    <w:rsid w:val="009312D6"/>
    <w:rsid w:val="0093140D"/>
    <w:rsid w:val="00934A68"/>
    <w:rsid w:val="009373FC"/>
    <w:rsid w:val="009418D2"/>
    <w:rsid w:val="00942412"/>
    <w:rsid w:val="00945E4E"/>
    <w:rsid w:val="0095602D"/>
    <w:rsid w:val="009561DE"/>
    <w:rsid w:val="00956350"/>
    <w:rsid w:val="009600D3"/>
    <w:rsid w:val="00962483"/>
    <w:rsid w:val="00963D77"/>
    <w:rsid w:val="00963D7D"/>
    <w:rsid w:val="00965C66"/>
    <w:rsid w:val="00966692"/>
    <w:rsid w:val="00970C17"/>
    <w:rsid w:val="00971222"/>
    <w:rsid w:val="009720E3"/>
    <w:rsid w:val="00972CBE"/>
    <w:rsid w:val="009739FC"/>
    <w:rsid w:val="00974FD5"/>
    <w:rsid w:val="00975077"/>
    <w:rsid w:val="009774D5"/>
    <w:rsid w:val="0098164A"/>
    <w:rsid w:val="00982D09"/>
    <w:rsid w:val="00983092"/>
    <w:rsid w:val="0098423E"/>
    <w:rsid w:val="00985F1A"/>
    <w:rsid w:val="00986173"/>
    <w:rsid w:val="00986DEB"/>
    <w:rsid w:val="0099221E"/>
    <w:rsid w:val="00993BE4"/>
    <w:rsid w:val="00995005"/>
    <w:rsid w:val="009975F6"/>
    <w:rsid w:val="009A5708"/>
    <w:rsid w:val="009A60EC"/>
    <w:rsid w:val="009A6E73"/>
    <w:rsid w:val="009B19FC"/>
    <w:rsid w:val="009B2ADC"/>
    <w:rsid w:val="009B4E6E"/>
    <w:rsid w:val="009B7081"/>
    <w:rsid w:val="009B7A85"/>
    <w:rsid w:val="009C1E75"/>
    <w:rsid w:val="009C2039"/>
    <w:rsid w:val="009C2A24"/>
    <w:rsid w:val="009C578C"/>
    <w:rsid w:val="009C613E"/>
    <w:rsid w:val="009C64BB"/>
    <w:rsid w:val="009D2FDD"/>
    <w:rsid w:val="009D4B8E"/>
    <w:rsid w:val="009D6934"/>
    <w:rsid w:val="009D7340"/>
    <w:rsid w:val="009E1E02"/>
    <w:rsid w:val="009E33AF"/>
    <w:rsid w:val="009E606B"/>
    <w:rsid w:val="009E690A"/>
    <w:rsid w:val="009F4195"/>
    <w:rsid w:val="009F674A"/>
    <w:rsid w:val="00A01F6F"/>
    <w:rsid w:val="00A03922"/>
    <w:rsid w:val="00A06430"/>
    <w:rsid w:val="00A11374"/>
    <w:rsid w:val="00A12C73"/>
    <w:rsid w:val="00A2002B"/>
    <w:rsid w:val="00A24BFD"/>
    <w:rsid w:val="00A26B7D"/>
    <w:rsid w:val="00A27C66"/>
    <w:rsid w:val="00A400F8"/>
    <w:rsid w:val="00A4040F"/>
    <w:rsid w:val="00A4301A"/>
    <w:rsid w:val="00A4326E"/>
    <w:rsid w:val="00A4448F"/>
    <w:rsid w:val="00A44818"/>
    <w:rsid w:val="00A44A01"/>
    <w:rsid w:val="00A453C6"/>
    <w:rsid w:val="00A453D1"/>
    <w:rsid w:val="00A50A0C"/>
    <w:rsid w:val="00A5153D"/>
    <w:rsid w:val="00A5443C"/>
    <w:rsid w:val="00A54571"/>
    <w:rsid w:val="00A579B4"/>
    <w:rsid w:val="00A6072C"/>
    <w:rsid w:val="00A60E1C"/>
    <w:rsid w:val="00A62338"/>
    <w:rsid w:val="00A62866"/>
    <w:rsid w:val="00A65EAD"/>
    <w:rsid w:val="00A66075"/>
    <w:rsid w:val="00A70C25"/>
    <w:rsid w:val="00A71B97"/>
    <w:rsid w:val="00A72623"/>
    <w:rsid w:val="00A73A78"/>
    <w:rsid w:val="00A7604E"/>
    <w:rsid w:val="00A761EA"/>
    <w:rsid w:val="00A76F08"/>
    <w:rsid w:val="00A80994"/>
    <w:rsid w:val="00A821B1"/>
    <w:rsid w:val="00A921E3"/>
    <w:rsid w:val="00A92C88"/>
    <w:rsid w:val="00A97096"/>
    <w:rsid w:val="00A9713A"/>
    <w:rsid w:val="00A97760"/>
    <w:rsid w:val="00A97F58"/>
    <w:rsid w:val="00AA08A3"/>
    <w:rsid w:val="00AA0B3D"/>
    <w:rsid w:val="00AA3721"/>
    <w:rsid w:val="00AA380B"/>
    <w:rsid w:val="00AA3A1B"/>
    <w:rsid w:val="00AA59AF"/>
    <w:rsid w:val="00AA5ACF"/>
    <w:rsid w:val="00AA6B86"/>
    <w:rsid w:val="00AB1141"/>
    <w:rsid w:val="00AB4915"/>
    <w:rsid w:val="00AB5CB4"/>
    <w:rsid w:val="00AB6FD9"/>
    <w:rsid w:val="00AC14C6"/>
    <w:rsid w:val="00AC18CB"/>
    <w:rsid w:val="00AC5B8E"/>
    <w:rsid w:val="00AC5E73"/>
    <w:rsid w:val="00AD0BE8"/>
    <w:rsid w:val="00AD0FE2"/>
    <w:rsid w:val="00AD3DE2"/>
    <w:rsid w:val="00AD3DEA"/>
    <w:rsid w:val="00AD5E1D"/>
    <w:rsid w:val="00AD6886"/>
    <w:rsid w:val="00AE6C01"/>
    <w:rsid w:val="00AE79C9"/>
    <w:rsid w:val="00AF005B"/>
    <w:rsid w:val="00AF0CD3"/>
    <w:rsid w:val="00AF7178"/>
    <w:rsid w:val="00B00A71"/>
    <w:rsid w:val="00B05FEF"/>
    <w:rsid w:val="00B06920"/>
    <w:rsid w:val="00B077D2"/>
    <w:rsid w:val="00B103A7"/>
    <w:rsid w:val="00B10AC2"/>
    <w:rsid w:val="00B10F40"/>
    <w:rsid w:val="00B11878"/>
    <w:rsid w:val="00B128CA"/>
    <w:rsid w:val="00B12C26"/>
    <w:rsid w:val="00B130C1"/>
    <w:rsid w:val="00B16C70"/>
    <w:rsid w:val="00B2393F"/>
    <w:rsid w:val="00B24232"/>
    <w:rsid w:val="00B30912"/>
    <w:rsid w:val="00B310F1"/>
    <w:rsid w:val="00B34C2B"/>
    <w:rsid w:val="00B40C97"/>
    <w:rsid w:val="00B4100A"/>
    <w:rsid w:val="00B41A48"/>
    <w:rsid w:val="00B43D74"/>
    <w:rsid w:val="00B4555D"/>
    <w:rsid w:val="00B4782A"/>
    <w:rsid w:val="00B514FF"/>
    <w:rsid w:val="00B51E8C"/>
    <w:rsid w:val="00B52BC9"/>
    <w:rsid w:val="00B55C39"/>
    <w:rsid w:val="00B57AEA"/>
    <w:rsid w:val="00B6180D"/>
    <w:rsid w:val="00B619F9"/>
    <w:rsid w:val="00B6214E"/>
    <w:rsid w:val="00B62583"/>
    <w:rsid w:val="00B6360E"/>
    <w:rsid w:val="00B63848"/>
    <w:rsid w:val="00B668D9"/>
    <w:rsid w:val="00B7008B"/>
    <w:rsid w:val="00B73238"/>
    <w:rsid w:val="00B73CE9"/>
    <w:rsid w:val="00B75955"/>
    <w:rsid w:val="00B800F0"/>
    <w:rsid w:val="00B82CE8"/>
    <w:rsid w:val="00B86033"/>
    <w:rsid w:val="00B87852"/>
    <w:rsid w:val="00B878BA"/>
    <w:rsid w:val="00B90B98"/>
    <w:rsid w:val="00B9152B"/>
    <w:rsid w:val="00B936D9"/>
    <w:rsid w:val="00BA0084"/>
    <w:rsid w:val="00BA008D"/>
    <w:rsid w:val="00BA2194"/>
    <w:rsid w:val="00BA2E41"/>
    <w:rsid w:val="00BA35E3"/>
    <w:rsid w:val="00BB18F2"/>
    <w:rsid w:val="00BB5E2B"/>
    <w:rsid w:val="00BB6EDF"/>
    <w:rsid w:val="00BC63C4"/>
    <w:rsid w:val="00BC6D44"/>
    <w:rsid w:val="00BD1B46"/>
    <w:rsid w:val="00BD26B4"/>
    <w:rsid w:val="00BD27D9"/>
    <w:rsid w:val="00BD2C5B"/>
    <w:rsid w:val="00BD6B89"/>
    <w:rsid w:val="00BE13AE"/>
    <w:rsid w:val="00BE18FB"/>
    <w:rsid w:val="00BE3199"/>
    <w:rsid w:val="00BF6D57"/>
    <w:rsid w:val="00C01437"/>
    <w:rsid w:val="00C03F8E"/>
    <w:rsid w:val="00C04178"/>
    <w:rsid w:val="00C04F31"/>
    <w:rsid w:val="00C05D77"/>
    <w:rsid w:val="00C11606"/>
    <w:rsid w:val="00C12491"/>
    <w:rsid w:val="00C13480"/>
    <w:rsid w:val="00C137CB"/>
    <w:rsid w:val="00C14548"/>
    <w:rsid w:val="00C175B1"/>
    <w:rsid w:val="00C21B0C"/>
    <w:rsid w:val="00C23847"/>
    <w:rsid w:val="00C23E7A"/>
    <w:rsid w:val="00C24EE3"/>
    <w:rsid w:val="00C26758"/>
    <w:rsid w:val="00C326A2"/>
    <w:rsid w:val="00C40F19"/>
    <w:rsid w:val="00C418E4"/>
    <w:rsid w:val="00C41E9C"/>
    <w:rsid w:val="00C42646"/>
    <w:rsid w:val="00C43018"/>
    <w:rsid w:val="00C54673"/>
    <w:rsid w:val="00C5512F"/>
    <w:rsid w:val="00C56369"/>
    <w:rsid w:val="00C61D93"/>
    <w:rsid w:val="00C62725"/>
    <w:rsid w:val="00C63AD7"/>
    <w:rsid w:val="00C63C2D"/>
    <w:rsid w:val="00C6539E"/>
    <w:rsid w:val="00C707C3"/>
    <w:rsid w:val="00C7700F"/>
    <w:rsid w:val="00C8036C"/>
    <w:rsid w:val="00C83254"/>
    <w:rsid w:val="00C95137"/>
    <w:rsid w:val="00C977E1"/>
    <w:rsid w:val="00C97E60"/>
    <w:rsid w:val="00CA1232"/>
    <w:rsid w:val="00CA4C27"/>
    <w:rsid w:val="00CB2628"/>
    <w:rsid w:val="00CB6477"/>
    <w:rsid w:val="00CC1142"/>
    <w:rsid w:val="00CC18D8"/>
    <w:rsid w:val="00CC2092"/>
    <w:rsid w:val="00CC40E6"/>
    <w:rsid w:val="00CC745E"/>
    <w:rsid w:val="00CC7DDC"/>
    <w:rsid w:val="00CD2EFA"/>
    <w:rsid w:val="00CD73CE"/>
    <w:rsid w:val="00CD7E91"/>
    <w:rsid w:val="00CD7F2F"/>
    <w:rsid w:val="00CE0618"/>
    <w:rsid w:val="00CE3BE2"/>
    <w:rsid w:val="00CE55CE"/>
    <w:rsid w:val="00CF0BDD"/>
    <w:rsid w:val="00CF1CA6"/>
    <w:rsid w:val="00CF3C37"/>
    <w:rsid w:val="00CF4A75"/>
    <w:rsid w:val="00CF6A4C"/>
    <w:rsid w:val="00CF7CF4"/>
    <w:rsid w:val="00D012E3"/>
    <w:rsid w:val="00D03393"/>
    <w:rsid w:val="00D06589"/>
    <w:rsid w:val="00D10507"/>
    <w:rsid w:val="00D12FA4"/>
    <w:rsid w:val="00D13A25"/>
    <w:rsid w:val="00D15078"/>
    <w:rsid w:val="00D176C1"/>
    <w:rsid w:val="00D211F9"/>
    <w:rsid w:val="00D236EE"/>
    <w:rsid w:val="00D23A28"/>
    <w:rsid w:val="00D24503"/>
    <w:rsid w:val="00D24DCB"/>
    <w:rsid w:val="00D2629E"/>
    <w:rsid w:val="00D26485"/>
    <w:rsid w:val="00D32116"/>
    <w:rsid w:val="00D32122"/>
    <w:rsid w:val="00D32EA4"/>
    <w:rsid w:val="00D3400B"/>
    <w:rsid w:val="00D36DCC"/>
    <w:rsid w:val="00D40B87"/>
    <w:rsid w:val="00D4398C"/>
    <w:rsid w:val="00D43BC2"/>
    <w:rsid w:val="00D4474F"/>
    <w:rsid w:val="00D4525B"/>
    <w:rsid w:val="00D46BE4"/>
    <w:rsid w:val="00D46F62"/>
    <w:rsid w:val="00D501B1"/>
    <w:rsid w:val="00D52071"/>
    <w:rsid w:val="00D5781E"/>
    <w:rsid w:val="00D6079B"/>
    <w:rsid w:val="00D6162B"/>
    <w:rsid w:val="00D62336"/>
    <w:rsid w:val="00D650B5"/>
    <w:rsid w:val="00D67D93"/>
    <w:rsid w:val="00D70EAC"/>
    <w:rsid w:val="00D729F6"/>
    <w:rsid w:val="00D759AD"/>
    <w:rsid w:val="00D80966"/>
    <w:rsid w:val="00D82430"/>
    <w:rsid w:val="00D826D4"/>
    <w:rsid w:val="00D8541A"/>
    <w:rsid w:val="00D85AA5"/>
    <w:rsid w:val="00D92829"/>
    <w:rsid w:val="00D94B47"/>
    <w:rsid w:val="00D956F8"/>
    <w:rsid w:val="00DA5B9F"/>
    <w:rsid w:val="00DB01D9"/>
    <w:rsid w:val="00DB5710"/>
    <w:rsid w:val="00DB6F3B"/>
    <w:rsid w:val="00DB6F3F"/>
    <w:rsid w:val="00DC0E29"/>
    <w:rsid w:val="00DC2056"/>
    <w:rsid w:val="00DC2C3E"/>
    <w:rsid w:val="00DC5195"/>
    <w:rsid w:val="00DC7963"/>
    <w:rsid w:val="00DE02BE"/>
    <w:rsid w:val="00DE6EFC"/>
    <w:rsid w:val="00DE7993"/>
    <w:rsid w:val="00DF1F20"/>
    <w:rsid w:val="00DF2697"/>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7674"/>
    <w:rsid w:val="00E27CB0"/>
    <w:rsid w:val="00E27ED1"/>
    <w:rsid w:val="00E336F7"/>
    <w:rsid w:val="00E33880"/>
    <w:rsid w:val="00E34CBD"/>
    <w:rsid w:val="00E37728"/>
    <w:rsid w:val="00E419FF"/>
    <w:rsid w:val="00E42CD6"/>
    <w:rsid w:val="00E43EDC"/>
    <w:rsid w:val="00E50EEA"/>
    <w:rsid w:val="00E53D79"/>
    <w:rsid w:val="00E54CD1"/>
    <w:rsid w:val="00E55C66"/>
    <w:rsid w:val="00E57142"/>
    <w:rsid w:val="00E60518"/>
    <w:rsid w:val="00E65156"/>
    <w:rsid w:val="00E65E96"/>
    <w:rsid w:val="00E667AD"/>
    <w:rsid w:val="00E70270"/>
    <w:rsid w:val="00E709FC"/>
    <w:rsid w:val="00E746A6"/>
    <w:rsid w:val="00E823BB"/>
    <w:rsid w:val="00E82ADC"/>
    <w:rsid w:val="00E8689B"/>
    <w:rsid w:val="00E92652"/>
    <w:rsid w:val="00EA1E9C"/>
    <w:rsid w:val="00EA3F67"/>
    <w:rsid w:val="00EA4E86"/>
    <w:rsid w:val="00EA548F"/>
    <w:rsid w:val="00EB1641"/>
    <w:rsid w:val="00EB1BCA"/>
    <w:rsid w:val="00EB288A"/>
    <w:rsid w:val="00EB5509"/>
    <w:rsid w:val="00EB6633"/>
    <w:rsid w:val="00EC6599"/>
    <w:rsid w:val="00EC7BB6"/>
    <w:rsid w:val="00ED07B6"/>
    <w:rsid w:val="00ED12BF"/>
    <w:rsid w:val="00ED331C"/>
    <w:rsid w:val="00EE4BC2"/>
    <w:rsid w:val="00EE56B2"/>
    <w:rsid w:val="00EF103E"/>
    <w:rsid w:val="00EF179D"/>
    <w:rsid w:val="00EF2AA1"/>
    <w:rsid w:val="00EF3373"/>
    <w:rsid w:val="00EF4CE4"/>
    <w:rsid w:val="00EF688F"/>
    <w:rsid w:val="00EF71F5"/>
    <w:rsid w:val="00EF7EBD"/>
    <w:rsid w:val="00F00E13"/>
    <w:rsid w:val="00F02C27"/>
    <w:rsid w:val="00F0305F"/>
    <w:rsid w:val="00F03FF7"/>
    <w:rsid w:val="00F04CD1"/>
    <w:rsid w:val="00F169CD"/>
    <w:rsid w:val="00F211F5"/>
    <w:rsid w:val="00F21C30"/>
    <w:rsid w:val="00F22874"/>
    <w:rsid w:val="00F23077"/>
    <w:rsid w:val="00F23E40"/>
    <w:rsid w:val="00F26333"/>
    <w:rsid w:val="00F27074"/>
    <w:rsid w:val="00F362A7"/>
    <w:rsid w:val="00F36982"/>
    <w:rsid w:val="00F37FAD"/>
    <w:rsid w:val="00F4100D"/>
    <w:rsid w:val="00F41D83"/>
    <w:rsid w:val="00F41E0A"/>
    <w:rsid w:val="00F4238C"/>
    <w:rsid w:val="00F436CB"/>
    <w:rsid w:val="00F4468E"/>
    <w:rsid w:val="00F4663F"/>
    <w:rsid w:val="00F500F7"/>
    <w:rsid w:val="00F51EAA"/>
    <w:rsid w:val="00F522B2"/>
    <w:rsid w:val="00F55372"/>
    <w:rsid w:val="00F61AD6"/>
    <w:rsid w:val="00F6450D"/>
    <w:rsid w:val="00F65A17"/>
    <w:rsid w:val="00F65A4D"/>
    <w:rsid w:val="00F66EDC"/>
    <w:rsid w:val="00F67180"/>
    <w:rsid w:val="00F7383C"/>
    <w:rsid w:val="00F74578"/>
    <w:rsid w:val="00F74B1E"/>
    <w:rsid w:val="00F752C5"/>
    <w:rsid w:val="00F8124E"/>
    <w:rsid w:val="00F83B8D"/>
    <w:rsid w:val="00F84D3C"/>
    <w:rsid w:val="00F86580"/>
    <w:rsid w:val="00F932E4"/>
    <w:rsid w:val="00FA38A0"/>
    <w:rsid w:val="00FA4E56"/>
    <w:rsid w:val="00FA6146"/>
    <w:rsid w:val="00FA6368"/>
    <w:rsid w:val="00FA780C"/>
    <w:rsid w:val="00FB3671"/>
    <w:rsid w:val="00FB39C0"/>
    <w:rsid w:val="00FB577C"/>
    <w:rsid w:val="00FB683E"/>
    <w:rsid w:val="00FC02AC"/>
    <w:rsid w:val="00FC1606"/>
    <w:rsid w:val="00FC48A5"/>
    <w:rsid w:val="00FC7F76"/>
    <w:rsid w:val="00FD201E"/>
    <w:rsid w:val="00FD3B0A"/>
    <w:rsid w:val="00FD522B"/>
    <w:rsid w:val="00FD607A"/>
    <w:rsid w:val="00FE1AA8"/>
    <w:rsid w:val="00FE2C1D"/>
    <w:rsid w:val="00FE35BA"/>
    <w:rsid w:val="00FE3C0D"/>
    <w:rsid w:val="00FE4050"/>
    <w:rsid w:val="00FF6404"/>
    <w:rsid w:val="00FF6F22"/>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68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paragraph" w:styleId="NoSpacing">
    <w:name w:val="No Spacing"/>
    <w:uiPriority w:val="1"/>
    <w:qFormat/>
    <w:rsid w:val="00663F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ir.ca.gov/dwc/OMFS9904.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44AFB-2C1D-44DF-8658-EC2A2E32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7940</Characters>
  <Application>Microsoft Office Word</Application>
  <DocSecurity>4</DocSecurity>
  <Lines>180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Links>
    <vt:vector size="12" baseType="variant">
      <vt:variant>
        <vt:i4>8257549</vt:i4>
      </vt:variant>
      <vt:variant>
        <vt:i4>3</vt:i4>
      </vt:variant>
      <vt:variant>
        <vt:i4>0</vt:i4>
      </vt:variant>
      <vt:variant>
        <vt:i4>5</vt:i4>
      </vt:variant>
      <vt:variant>
        <vt:lpwstr>http://www.dir.ca.gov/dwc/OMFS9904.htm</vt:lpwstr>
      </vt:variant>
      <vt:variant>
        <vt:lpwstr>7</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Medrano, Perla</cp:lastModifiedBy>
  <cp:revision>2</cp:revision>
  <cp:lastPrinted>2017-08-02T23:13:00Z</cp:lastPrinted>
  <dcterms:created xsi:type="dcterms:W3CDTF">2018-09-14T21:21:00Z</dcterms:created>
  <dcterms:modified xsi:type="dcterms:W3CDTF">2018-09-14T21:21:00Z</dcterms:modified>
</cp:coreProperties>
</file>