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255" w:rsidRDefault="009B1255">
      <w:pPr>
        <w:rPr>
          <w:rFonts w:ascii="Arial" w:hAnsi="Arial" w:cs="Arial"/>
          <w:sz w:val="24"/>
          <w:szCs w:val="24"/>
        </w:rPr>
      </w:pPr>
    </w:p>
    <w:p w:rsidR="004E76C6" w:rsidRPr="004E76C6" w:rsidRDefault="004E76C6">
      <w:pPr>
        <w:rPr>
          <w:rFonts w:ascii="Arial" w:hAnsi="Arial" w:cs="Arial"/>
          <w:b/>
          <w:sz w:val="24"/>
          <w:szCs w:val="24"/>
        </w:rPr>
      </w:pPr>
      <w:r w:rsidRPr="004E76C6">
        <w:rPr>
          <w:rFonts w:ascii="Arial" w:hAnsi="Arial" w:cs="Arial"/>
          <w:b/>
          <w:sz w:val="24"/>
          <w:szCs w:val="24"/>
        </w:rPr>
        <w:t>DWC Forum - Pharmaceutical Fee Schedule</w:t>
      </w:r>
      <w:r>
        <w:rPr>
          <w:rFonts w:ascii="Arial" w:hAnsi="Arial" w:cs="Arial"/>
          <w:b/>
          <w:sz w:val="24"/>
          <w:szCs w:val="24"/>
        </w:rPr>
        <w:t xml:space="preserve"> Comment Period ending Oct.</w:t>
      </w:r>
      <w:r w:rsidRPr="004E76C6">
        <w:rPr>
          <w:rFonts w:ascii="Arial" w:hAnsi="Arial" w:cs="Arial"/>
          <w:b/>
          <w:sz w:val="24"/>
          <w:szCs w:val="24"/>
        </w:rPr>
        <w:t xml:space="preserve"> 8, 2018</w:t>
      </w:r>
    </w:p>
    <w:p w:rsidR="004E76C6" w:rsidRPr="004E76C6" w:rsidRDefault="004E76C6" w:rsidP="004E76C6">
      <w:pPr>
        <w:jc w:val="center"/>
        <w:rPr>
          <w:rFonts w:ascii="Arial" w:hAnsi="Arial" w:cs="Arial"/>
          <w:b/>
          <w:sz w:val="24"/>
          <w:szCs w:val="24"/>
        </w:rPr>
      </w:pPr>
      <w:r w:rsidRPr="004E76C6">
        <w:rPr>
          <w:rFonts w:ascii="Arial" w:hAnsi="Arial" w:cs="Arial"/>
          <w:b/>
          <w:sz w:val="24"/>
          <w:szCs w:val="24"/>
        </w:rPr>
        <w:t xml:space="preserve">Background </w:t>
      </w:r>
      <w:r>
        <w:rPr>
          <w:rFonts w:ascii="Arial" w:hAnsi="Arial" w:cs="Arial"/>
          <w:b/>
          <w:sz w:val="24"/>
          <w:szCs w:val="24"/>
        </w:rPr>
        <w:t>Information and Overview</w:t>
      </w:r>
    </w:p>
    <w:p w:rsidR="004E76C6" w:rsidRDefault="004E76C6" w:rsidP="004E76C6">
      <w:pPr>
        <w:spacing w:line="240" w:lineRule="auto"/>
        <w:contextualSpacing/>
        <w:rPr>
          <w:rFonts w:ascii="Arial" w:hAnsi="Arial" w:cs="Arial"/>
          <w:sz w:val="24"/>
          <w:szCs w:val="24"/>
        </w:rPr>
      </w:pPr>
      <w:r>
        <w:rPr>
          <w:rFonts w:ascii="Arial" w:hAnsi="Arial" w:cs="Arial"/>
          <w:sz w:val="24"/>
          <w:szCs w:val="24"/>
        </w:rPr>
        <w:t xml:space="preserve">The Division of Workers’ Compensation (DWC) invites the public to participate in the DWC Forum public comment period relating to proposed changes to the Pharmaceutical Fee Schedule that is currently codified at title 8, California Code of Regulations, section 9789.40. </w:t>
      </w:r>
    </w:p>
    <w:p w:rsidR="004E76C6" w:rsidRDefault="004E76C6" w:rsidP="004E76C6">
      <w:pPr>
        <w:spacing w:line="240" w:lineRule="auto"/>
        <w:contextualSpacing/>
        <w:rPr>
          <w:rFonts w:ascii="Arial" w:hAnsi="Arial" w:cs="Arial"/>
          <w:sz w:val="24"/>
          <w:szCs w:val="24"/>
        </w:rPr>
      </w:pPr>
    </w:p>
    <w:p w:rsidR="004E76C6" w:rsidRDefault="004E76C6" w:rsidP="004E76C6">
      <w:pPr>
        <w:spacing w:line="240" w:lineRule="auto"/>
        <w:contextualSpacing/>
        <w:rPr>
          <w:rFonts w:ascii="Arial" w:hAnsi="Arial" w:cs="Arial"/>
          <w:sz w:val="24"/>
          <w:szCs w:val="24"/>
        </w:rPr>
      </w:pPr>
      <w:r w:rsidRPr="00D92E32">
        <w:rPr>
          <w:rFonts w:ascii="Arial" w:hAnsi="Arial" w:cs="Arial"/>
          <w:sz w:val="24"/>
          <w:szCs w:val="24"/>
        </w:rPr>
        <w:t xml:space="preserve">Under the California Labor Code, the fee schedule for pharmaceuticals is based primarily upon the Medi-Cal pharmacy payment system. Medi-Cal is now implementing a revised payment methodology approved by the Centers for Medicare and Medicaid </w:t>
      </w:r>
      <w:bookmarkStart w:id="0" w:name="_GoBack"/>
      <w:bookmarkEnd w:id="0"/>
      <w:r w:rsidRPr="00D92E32">
        <w:rPr>
          <w:rFonts w:ascii="Arial" w:hAnsi="Arial" w:cs="Arial"/>
          <w:sz w:val="24"/>
          <w:szCs w:val="24"/>
        </w:rPr>
        <w:t xml:space="preserve">Services (CMS). Background information on the Medi-Cal changes can be reviewed on the Department of Health Care Services (DHCS) </w:t>
      </w:r>
      <w:hyperlink r:id="rId7" w:history="1">
        <w:r w:rsidRPr="00D92E32">
          <w:rPr>
            <w:rStyle w:val="Hyperlink"/>
            <w:rFonts w:ascii="Arial" w:hAnsi="Arial" w:cs="Arial"/>
            <w:sz w:val="24"/>
            <w:szCs w:val="24"/>
          </w:rPr>
          <w:t>Pharmacy Reimbursement Project</w:t>
        </w:r>
      </w:hyperlink>
      <w:r w:rsidRPr="00D92E32">
        <w:rPr>
          <w:rFonts w:ascii="Arial" w:hAnsi="Arial" w:cs="Arial"/>
          <w:sz w:val="24"/>
          <w:szCs w:val="24"/>
        </w:rPr>
        <w:t xml:space="preserve"> web page</w:t>
      </w:r>
      <w:r>
        <w:rPr>
          <w:rFonts w:ascii="Arial" w:hAnsi="Arial" w:cs="Arial"/>
          <w:sz w:val="24"/>
          <w:szCs w:val="24"/>
        </w:rPr>
        <w:t xml:space="preserve">. </w:t>
      </w:r>
      <w:r w:rsidRPr="00D92E32">
        <w:rPr>
          <w:rFonts w:ascii="Arial" w:hAnsi="Arial" w:cs="Arial"/>
          <w:sz w:val="24"/>
          <w:szCs w:val="24"/>
        </w:rPr>
        <w:t>Due to requirements of federal law, the DHCS will implement Medi-Cal pharmacy fee schedule changes r</w:t>
      </w:r>
      <w:r>
        <w:rPr>
          <w:rFonts w:ascii="Arial" w:hAnsi="Arial" w:cs="Arial"/>
          <w:sz w:val="24"/>
          <w:szCs w:val="24"/>
        </w:rPr>
        <w:t xml:space="preserve">etroactively to April 1, 2017. </w:t>
      </w:r>
      <w:r w:rsidRPr="00D92E32">
        <w:rPr>
          <w:rFonts w:ascii="Arial" w:hAnsi="Arial" w:cs="Arial"/>
          <w:sz w:val="24"/>
          <w:szCs w:val="24"/>
        </w:rPr>
        <w:t xml:space="preserve">For workers’ compensation, fee schedule changes will not be retroactive; the draft regulations propose that the new methodology become effective for pharmaceuticals dispensed on or after January 1, 2019. </w:t>
      </w:r>
    </w:p>
    <w:p w:rsidR="004E76C6" w:rsidRPr="00D92E32" w:rsidRDefault="004E76C6" w:rsidP="004E76C6">
      <w:pPr>
        <w:spacing w:line="240" w:lineRule="auto"/>
        <w:contextualSpacing/>
        <w:rPr>
          <w:rFonts w:ascii="Arial" w:hAnsi="Arial" w:cs="Arial"/>
          <w:sz w:val="24"/>
          <w:szCs w:val="24"/>
        </w:rPr>
      </w:pPr>
    </w:p>
    <w:p w:rsidR="004E76C6" w:rsidRPr="00D92E32" w:rsidRDefault="004E76C6" w:rsidP="004E76C6">
      <w:pPr>
        <w:spacing w:line="240" w:lineRule="auto"/>
        <w:contextualSpacing/>
        <w:rPr>
          <w:rFonts w:ascii="Arial" w:hAnsi="Arial" w:cs="Arial"/>
          <w:sz w:val="24"/>
          <w:szCs w:val="24"/>
        </w:rPr>
      </w:pPr>
      <w:r>
        <w:rPr>
          <w:rFonts w:ascii="Arial" w:hAnsi="Arial" w:cs="Arial"/>
          <w:sz w:val="24"/>
          <w:szCs w:val="24"/>
        </w:rPr>
        <w:t>The following r</w:t>
      </w:r>
      <w:r w:rsidRPr="00D92E32">
        <w:rPr>
          <w:rFonts w:ascii="Arial" w:hAnsi="Arial" w:cs="Arial"/>
          <w:sz w:val="24"/>
          <w:szCs w:val="24"/>
        </w:rPr>
        <w:t>egulation changes are proposed to implement Labor Code section 5307.1 and to align the fee schedule with the new Medi-Cal system:</w:t>
      </w:r>
    </w:p>
    <w:p w:rsidR="004E76C6" w:rsidRPr="00D92E32" w:rsidRDefault="004E76C6" w:rsidP="004E76C6">
      <w:pPr>
        <w:numPr>
          <w:ilvl w:val="0"/>
          <w:numId w:val="1"/>
        </w:numPr>
        <w:spacing w:line="240" w:lineRule="auto"/>
        <w:contextualSpacing/>
        <w:rPr>
          <w:rFonts w:ascii="Arial" w:hAnsi="Arial" w:cs="Arial"/>
          <w:sz w:val="24"/>
          <w:szCs w:val="24"/>
        </w:rPr>
      </w:pPr>
      <w:r w:rsidRPr="00D92E32">
        <w:rPr>
          <w:rFonts w:ascii="Arial" w:hAnsi="Arial" w:cs="Arial"/>
          <w:sz w:val="24"/>
          <w:szCs w:val="24"/>
        </w:rPr>
        <w:t>Elimination of the Average Wholesale Price (AWP) minus 17</w:t>
      </w:r>
      <w:r>
        <w:rPr>
          <w:rFonts w:ascii="Arial" w:hAnsi="Arial" w:cs="Arial"/>
          <w:sz w:val="24"/>
          <w:szCs w:val="24"/>
        </w:rPr>
        <w:t xml:space="preserve"> percent </w:t>
      </w:r>
      <w:r w:rsidRPr="00D92E32">
        <w:rPr>
          <w:rFonts w:ascii="Arial" w:hAnsi="Arial" w:cs="Arial"/>
          <w:sz w:val="24"/>
          <w:szCs w:val="24"/>
        </w:rPr>
        <w:t>as a benchmark for the drug ingredient;</w:t>
      </w:r>
    </w:p>
    <w:p w:rsidR="004E76C6" w:rsidRPr="00D92E32" w:rsidRDefault="004E76C6" w:rsidP="004E76C6">
      <w:pPr>
        <w:numPr>
          <w:ilvl w:val="0"/>
          <w:numId w:val="1"/>
        </w:numPr>
        <w:spacing w:line="240" w:lineRule="auto"/>
        <w:contextualSpacing/>
        <w:rPr>
          <w:rFonts w:ascii="Arial" w:hAnsi="Arial" w:cs="Arial"/>
          <w:sz w:val="24"/>
          <w:szCs w:val="24"/>
        </w:rPr>
      </w:pPr>
      <w:r w:rsidRPr="00D92E32">
        <w:rPr>
          <w:rFonts w:ascii="Arial" w:hAnsi="Arial" w:cs="Arial"/>
          <w:sz w:val="24"/>
          <w:szCs w:val="24"/>
        </w:rPr>
        <w:t>Revised methodology for payment of the drug ingredient</w:t>
      </w:r>
      <w:r>
        <w:rPr>
          <w:rFonts w:ascii="Arial" w:hAnsi="Arial" w:cs="Arial"/>
          <w:sz w:val="24"/>
          <w:szCs w:val="24"/>
        </w:rPr>
        <w:t xml:space="preserve"> to align with the new Medi-Cal system</w:t>
      </w:r>
      <w:r w:rsidRPr="00D92E32">
        <w:rPr>
          <w:rFonts w:ascii="Arial" w:hAnsi="Arial" w:cs="Arial"/>
          <w:sz w:val="24"/>
          <w:szCs w:val="24"/>
        </w:rPr>
        <w:t>, which sets the maximum at the lower of the following:</w:t>
      </w:r>
    </w:p>
    <w:p w:rsidR="004E76C6" w:rsidRPr="00D92E32" w:rsidRDefault="004E76C6" w:rsidP="004E76C6">
      <w:pPr>
        <w:numPr>
          <w:ilvl w:val="1"/>
          <w:numId w:val="1"/>
        </w:numPr>
        <w:spacing w:line="240" w:lineRule="auto"/>
        <w:contextualSpacing/>
        <w:rPr>
          <w:rFonts w:ascii="Arial" w:hAnsi="Arial" w:cs="Arial"/>
          <w:sz w:val="24"/>
          <w:szCs w:val="24"/>
        </w:rPr>
      </w:pPr>
      <w:r w:rsidRPr="00D92E32">
        <w:rPr>
          <w:rFonts w:ascii="Arial" w:hAnsi="Arial" w:cs="Arial"/>
          <w:sz w:val="24"/>
          <w:szCs w:val="24"/>
        </w:rPr>
        <w:t>National Drug Acquisition Cost (NADAC) or Wholesale Acquisition Cost (WAC) for drugs lacking a NADAC price;</w:t>
      </w:r>
    </w:p>
    <w:p w:rsidR="004E76C6" w:rsidRPr="00D92E32" w:rsidRDefault="004E76C6" w:rsidP="004E76C6">
      <w:pPr>
        <w:numPr>
          <w:ilvl w:val="1"/>
          <w:numId w:val="1"/>
        </w:numPr>
        <w:spacing w:line="240" w:lineRule="auto"/>
        <w:contextualSpacing/>
        <w:rPr>
          <w:rFonts w:ascii="Arial" w:hAnsi="Arial" w:cs="Arial"/>
          <w:sz w:val="24"/>
          <w:szCs w:val="24"/>
        </w:rPr>
      </w:pPr>
      <w:r w:rsidRPr="00D92E32">
        <w:rPr>
          <w:rFonts w:ascii="Arial" w:hAnsi="Arial" w:cs="Arial"/>
          <w:sz w:val="24"/>
          <w:szCs w:val="24"/>
        </w:rPr>
        <w:t>Federal Upper Limit;</w:t>
      </w:r>
    </w:p>
    <w:p w:rsidR="004E76C6" w:rsidRPr="00D92E32" w:rsidRDefault="004E76C6" w:rsidP="004E76C6">
      <w:pPr>
        <w:numPr>
          <w:ilvl w:val="1"/>
          <w:numId w:val="1"/>
        </w:numPr>
        <w:spacing w:line="240" w:lineRule="auto"/>
        <w:contextualSpacing/>
        <w:rPr>
          <w:rFonts w:ascii="Arial" w:hAnsi="Arial" w:cs="Arial"/>
          <w:sz w:val="24"/>
          <w:szCs w:val="24"/>
        </w:rPr>
      </w:pPr>
      <w:r w:rsidRPr="00D92E32">
        <w:rPr>
          <w:rFonts w:ascii="Arial" w:hAnsi="Arial" w:cs="Arial"/>
          <w:sz w:val="24"/>
          <w:szCs w:val="24"/>
        </w:rPr>
        <w:t>Maximum Allowable Ingredient Cost (MAIC);</w:t>
      </w:r>
    </w:p>
    <w:p w:rsidR="004E76C6" w:rsidRPr="00D92E32" w:rsidRDefault="004E76C6" w:rsidP="004E76C6">
      <w:pPr>
        <w:numPr>
          <w:ilvl w:val="1"/>
          <w:numId w:val="1"/>
        </w:numPr>
        <w:spacing w:line="240" w:lineRule="auto"/>
        <w:contextualSpacing/>
        <w:rPr>
          <w:rFonts w:ascii="Arial" w:hAnsi="Arial" w:cs="Arial"/>
          <w:sz w:val="24"/>
          <w:szCs w:val="24"/>
        </w:rPr>
      </w:pPr>
      <w:r w:rsidRPr="00D92E32">
        <w:rPr>
          <w:rFonts w:ascii="Arial" w:hAnsi="Arial" w:cs="Arial"/>
          <w:sz w:val="24"/>
          <w:szCs w:val="24"/>
        </w:rPr>
        <w:t>Usual and Customary Charge;</w:t>
      </w:r>
    </w:p>
    <w:p w:rsidR="004E76C6" w:rsidRPr="00D92E32" w:rsidRDefault="004E76C6" w:rsidP="004E76C6">
      <w:pPr>
        <w:numPr>
          <w:ilvl w:val="0"/>
          <w:numId w:val="1"/>
        </w:numPr>
        <w:spacing w:line="240" w:lineRule="auto"/>
        <w:contextualSpacing/>
        <w:rPr>
          <w:rFonts w:ascii="Arial" w:hAnsi="Arial" w:cs="Arial"/>
          <w:sz w:val="24"/>
          <w:szCs w:val="24"/>
        </w:rPr>
      </w:pPr>
      <w:r w:rsidRPr="00D92E32">
        <w:rPr>
          <w:rFonts w:ascii="Arial" w:hAnsi="Arial" w:cs="Arial"/>
          <w:sz w:val="24"/>
          <w:szCs w:val="24"/>
        </w:rPr>
        <w:t>Adoption of the revised two-tier Medi-Cal dispensing fee structure for pharmacies (which increases the dispensing fee from the current $7.25 to $10.05, or to $13.20 for those pharmacies listed by Medi-Cal as eligible for the higher fee);</w:t>
      </w:r>
    </w:p>
    <w:p w:rsidR="004E76C6" w:rsidRPr="00D92E32" w:rsidRDefault="004E76C6" w:rsidP="004E76C6">
      <w:pPr>
        <w:numPr>
          <w:ilvl w:val="0"/>
          <w:numId w:val="1"/>
        </w:numPr>
        <w:spacing w:line="240" w:lineRule="auto"/>
        <w:contextualSpacing/>
        <w:rPr>
          <w:rFonts w:ascii="Arial" w:hAnsi="Arial" w:cs="Arial"/>
          <w:sz w:val="24"/>
          <w:szCs w:val="24"/>
        </w:rPr>
      </w:pPr>
      <w:r w:rsidRPr="00D92E32">
        <w:rPr>
          <w:rFonts w:ascii="Arial" w:hAnsi="Arial" w:cs="Arial"/>
          <w:sz w:val="24"/>
          <w:szCs w:val="24"/>
        </w:rPr>
        <w:t>Rules addressing fees for compounded drugs and repackaged drugs.</w:t>
      </w:r>
    </w:p>
    <w:p w:rsidR="004E76C6" w:rsidRDefault="004E76C6">
      <w:pPr>
        <w:rPr>
          <w:rFonts w:ascii="Arial" w:hAnsi="Arial" w:cs="Arial"/>
          <w:sz w:val="24"/>
          <w:szCs w:val="24"/>
        </w:rPr>
      </w:pPr>
    </w:p>
    <w:p w:rsidR="004E76C6" w:rsidRPr="004E76C6" w:rsidRDefault="004E76C6">
      <w:pPr>
        <w:rPr>
          <w:rFonts w:ascii="Arial" w:hAnsi="Arial" w:cs="Arial"/>
          <w:sz w:val="24"/>
          <w:szCs w:val="24"/>
        </w:rPr>
      </w:pPr>
      <w:r>
        <w:rPr>
          <w:rFonts w:ascii="Arial" w:hAnsi="Arial" w:cs="Arial"/>
          <w:sz w:val="24"/>
          <w:szCs w:val="24"/>
        </w:rPr>
        <w:t>The DWC looks forward to receiving public comment on the draft regulations.</w:t>
      </w:r>
    </w:p>
    <w:sectPr w:rsidR="004E76C6" w:rsidRPr="004E76C6" w:rsidSect="004E76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6C6" w:rsidRDefault="004E76C6" w:rsidP="004E76C6">
      <w:pPr>
        <w:spacing w:after="0" w:line="240" w:lineRule="auto"/>
      </w:pPr>
      <w:r>
        <w:separator/>
      </w:r>
    </w:p>
  </w:endnote>
  <w:endnote w:type="continuationSeparator" w:id="0">
    <w:p w:rsidR="004E76C6" w:rsidRDefault="004E76C6" w:rsidP="004E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73" w:rsidRDefault="008C6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73" w:rsidRDefault="008C6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73" w:rsidRDefault="008C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6C6" w:rsidRDefault="004E76C6" w:rsidP="004E76C6">
      <w:pPr>
        <w:spacing w:after="0" w:line="240" w:lineRule="auto"/>
      </w:pPr>
      <w:r>
        <w:separator/>
      </w:r>
    </w:p>
  </w:footnote>
  <w:footnote w:type="continuationSeparator" w:id="0">
    <w:p w:rsidR="004E76C6" w:rsidRDefault="004E76C6" w:rsidP="004E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73" w:rsidRDefault="008C6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CCCBEC5004534D4DBCE6B1FD9C3CD35A"/>
      </w:placeholder>
      <w:temporary/>
      <w:showingPlcHdr/>
      <w15:appearance w15:val="hidden"/>
    </w:sdtPr>
    <w:sdtContent>
      <w:p w:rsidR="004E76C6" w:rsidRDefault="004E76C6">
        <w:pPr>
          <w:pStyle w:val="Header"/>
        </w:pPr>
        <w:r>
          <w:t>[Type here]</w:t>
        </w:r>
      </w:p>
    </w:sdtContent>
  </w:sdt>
  <w:p w:rsidR="004E76C6" w:rsidRDefault="004E7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6C6" w:rsidRPr="004E76C6" w:rsidRDefault="004E76C6" w:rsidP="004E76C6">
    <w:pPr>
      <w:widowControl w:val="0"/>
      <w:pBdr>
        <w:bottom w:val="double" w:sz="6" w:space="1" w:color="auto"/>
      </w:pBdr>
      <w:tabs>
        <w:tab w:val="right" w:pos="9360"/>
      </w:tabs>
      <w:spacing w:after="0" w:line="240" w:lineRule="auto"/>
      <w:rPr>
        <w:rFonts w:ascii="Palatino" w:eastAsia="Times New Roman" w:hAnsi="Palatino"/>
        <w:sz w:val="18"/>
        <w:szCs w:val="18"/>
      </w:rPr>
    </w:pPr>
    <w:r w:rsidRPr="004E76C6">
      <w:rPr>
        <w:rFonts w:ascii="Palatino" w:eastAsia="Times New Roman" w:hAnsi="Palatino"/>
        <w:b/>
        <w:bCs/>
        <w:sz w:val="18"/>
        <w:szCs w:val="18"/>
      </w:rPr>
      <w:t xml:space="preserve">STATE OF </w:t>
    </w:r>
    <w:smartTag w:uri="urn:schemas-microsoft-com:office:smarttags" w:element="State">
      <w:smartTag w:uri="urn:schemas-microsoft-com:office:smarttags" w:element="place">
        <w:r w:rsidRPr="004E76C6">
          <w:rPr>
            <w:rFonts w:ascii="Palatino" w:eastAsia="Times New Roman" w:hAnsi="Palatino"/>
            <w:b/>
            <w:bCs/>
            <w:sz w:val="18"/>
            <w:szCs w:val="18"/>
          </w:rPr>
          <w:t>CALIFORNIA</w:t>
        </w:r>
      </w:smartTag>
    </w:smartTag>
    <w:r w:rsidRPr="004E76C6">
      <w:rPr>
        <w:rFonts w:ascii="Palatino" w:eastAsia="Times New Roman" w:hAnsi="Palatino"/>
        <w:sz w:val="18"/>
        <w:szCs w:val="18"/>
      </w:rPr>
      <w:tab/>
      <w:t xml:space="preserve"> EDMUND G. BROWN JR., </w:t>
    </w:r>
    <w:r w:rsidRPr="004E76C6">
      <w:rPr>
        <w:rFonts w:ascii="Palatino" w:eastAsia="Times New Roman" w:hAnsi="Palatino"/>
        <w:i/>
        <w:iCs/>
        <w:sz w:val="18"/>
        <w:szCs w:val="18"/>
      </w:rPr>
      <w:t>Governor</w:t>
    </w:r>
  </w:p>
  <w:tbl>
    <w:tblPr>
      <w:tblW w:w="0" w:type="auto"/>
      <w:tblLayout w:type="fixed"/>
      <w:tblLook w:val="0000" w:firstRow="0" w:lastRow="0" w:firstColumn="0" w:lastColumn="0" w:noHBand="0" w:noVBand="0"/>
    </w:tblPr>
    <w:tblGrid>
      <w:gridCol w:w="4788"/>
      <w:gridCol w:w="3420"/>
      <w:gridCol w:w="1368"/>
    </w:tblGrid>
    <w:tr w:rsidR="004E76C6" w:rsidRPr="004E76C6" w:rsidTr="00D6585C">
      <w:trPr>
        <w:cantSplit/>
      </w:trPr>
      <w:tc>
        <w:tcPr>
          <w:tcW w:w="4788" w:type="dxa"/>
          <w:tcBorders>
            <w:top w:val="nil"/>
            <w:left w:val="nil"/>
            <w:bottom w:val="nil"/>
            <w:right w:val="nil"/>
          </w:tcBorders>
        </w:tcPr>
        <w:p w:rsidR="004E76C6" w:rsidRPr="004E76C6" w:rsidRDefault="004E76C6" w:rsidP="004E76C6">
          <w:pPr>
            <w:widowControl w:val="0"/>
            <w:spacing w:after="0" w:line="240" w:lineRule="auto"/>
            <w:rPr>
              <w:rFonts w:ascii="Palatino" w:eastAsia="Times New Roman" w:hAnsi="Palatino"/>
              <w:sz w:val="18"/>
              <w:szCs w:val="18"/>
            </w:rPr>
          </w:pPr>
          <w:r w:rsidRPr="004E76C6">
            <w:rPr>
              <w:rFonts w:ascii="Palatino" w:eastAsia="Times New Roman" w:hAnsi="Palatino"/>
              <w:sz w:val="18"/>
              <w:szCs w:val="18"/>
            </w:rPr>
            <w:t>DEPARTMENT OF INDUSTRIAL RELATIONS</w:t>
          </w:r>
        </w:p>
        <w:p w:rsidR="004E76C6" w:rsidRPr="004E76C6" w:rsidRDefault="004E76C6" w:rsidP="004E76C6">
          <w:pPr>
            <w:widowControl w:val="0"/>
            <w:spacing w:after="0" w:line="240" w:lineRule="auto"/>
            <w:rPr>
              <w:rFonts w:ascii="Palatino" w:eastAsia="Times New Roman" w:hAnsi="Palatino"/>
              <w:sz w:val="18"/>
              <w:szCs w:val="18"/>
            </w:rPr>
          </w:pPr>
          <w:r w:rsidRPr="004E76C6">
            <w:rPr>
              <w:rFonts w:ascii="Palatino" w:eastAsia="Times New Roman" w:hAnsi="Palatino"/>
              <w:sz w:val="18"/>
              <w:szCs w:val="18"/>
            </w:rPr>
            <w:t>Division of Workers’ Compensation</w:t>
          </w:r>
        </w:p>
        <w:p w:rsidR="004E76C6" w:rsidRPr="004E76C6" w:rsidRDefault="004E76C6" w:rsidP="004E76C6">
          <w:pPr>
            <w:widowControl w:val="0"/>
            <w:spacing w:after="0" w:line="240" w:lineRule="auto"/>
            <w:rPr>
              <w:rFonts w:ascii="Palatino" w:eastAsia="Times New Roman" w:hAnsi="Palatino"/>
              <w:sz w:val="18"/>
              <w:szCs w:val="18"/>
            </w:rPr>
          </w:pPr>
          <w:r w:rsidRPr="004E76C6">
            <w:rPr>
              <w:rFonts w:ascii="Palatino" w:eastAsia="Times New Roman" w:hAnsi="Palatino"/>
              <w:sz w:val="18"/>
              <w:szCs w:val="18"/>
            </w:rPr>
            <w:t>1515 Clay Street 17</w:t>
          </w:r>
          <w:r w:rsidRPr="004E76C6">
            <w:rPr>
              <w:rFonts w:ascii="Palatino" w:eastAsia="Times New Roman" w:hAnsi="Palatino"/>
              <w:sz w:val="18"/>
              <w:szCs w:val="18"/>
              <w:vertAlign w:val="superscript"/>
            </w:rPr>
            <w:t>th</w:t>
          </w:r>
          <w:r w:rsidRPr="004E76C6">
            <w:rPr>
              <w:rFonts w:ascii="Palatino" w:eastAsia="Times New Roman" w:hAnsi="Palatino"/>
              <w:sz w:val="18"/>
              <w:szCs w:val="18"/>
            </w:rPr>
            <w:t xml:space="preserve"> Floor</w:t>
          </w:r>
        </w:p>
        <w:p w:rsidR="004E76C6" w:rsidRPr="004E76C6" w:rsidRDefault="004E76C6" w:rsidP="004E76C6">
          <w:pPr>
            <w:widowControl w:val="0"/>
            <w:spacing w:after="0" w:line="240" w:lineRule="auto"/>
            <w:rPr>
              <w:rFonts w:ascii="Palatino" w:eastAsia="Times New Roman" w:hAnsi="Palatino"/>
              <w:sz w:val="18"/>
              <w:szCs w:val="18"/>
            </w:rPr>
          </w:pPr>
          <w:smartTag w:uri="urn:schemas-microsoft-com:office:smarttags" w:element="City">
            <w:r w:rsidRPr="004E76C6">
              <w:rPr>
                <w:rFonts w:ascii="Palatino" w:eastAsia="Times New Roman" w:hAnsi="Palatino"/>
                <w:sz w:val="18"/>
                <w:szCs w:val="18"/>
              </w:rPr>
              <w:t>Oakland</w:t>
            </w:r>
          </w:smartTag>
          <w:r w:rsidRPr="004E76C6">
            <w:rPr>
              <w:rFonts w:ascii="Palatino" w:eastAsia="Times New Roman" w:hAnsi="Palatino"/>
              <w:sz w:val="18"/>
              <w:szCs w:val="18"/>
            </w:rPr>
            <w:t>, CA 94612</w:t>
          </w:r>
        </w:p>
        <w:p w:rsidR="004E76C6" w:rsidRPr="004E76C6" w:rsidRDefault="004E76C6" w:rsidP="004E76C6">
          <w:pPr>
            <w:widowControl w:val="0"/>
            <w:spacing w:after="0" w:line="240" w:lineRule="auto"/>
            <w:rPr>
              <w:rFonts w:ascii="Palatino" w:eastAsia="Times New Roman" w:hAnsi="Palatino"/>
              <w:sz w:val="18"/>
              <w:szCs w:val="18"/>
            </w:rPr>
          </w:pPr>
        </w:p>
      </w:tc>
      <w:tc>
        <w:tcPr>
          <w:tcW w:w="3420" w:type="dxa"/>
          <w:tcBorders>
            <w:top w:val="nil"/>
            <w:left w:val="nil"/>
            <w:bottom w:val="nil"/>
            <w:right w:val="nil"/>
          </w:tcBorders>
        </w:tcPr>
        <w:p w:rsidR="004E76C6" w:rsidRPr="004E76C6" w:rsidRDefault="004E76C6" w:rsidP="004E76C6">
          <w:pPr>
            <w:widowControl w:val="0"/>
            <w:spacing w:after="0" w:line="240" w:lineRule="auto"/>
            <w:jc w:val="right"/>
            <w:rPr>
              <w:rFonts w:ascii="Palatino" w:eastAsia="Times New Roman" w:hAnsi="Palatino"/>
              <w:i/>
              <w:iCs/>
              <w:sz w:val="16"/>
              <w:szCs w:val="16"/>
            </w:rPr>
          </w:pPr>
        </w:p>
        <w:p w:rsidR="004E76C6" w:rsidRPr="004E76C6" w:rsidRDefault="004E76C6" w:rsidP="004E76C6">
          <w:pPr>
            <w:widowControl w:val="0"/>
            <w:spacing w:after="0" w:line="240" w:lineRule="auto"/>
            <w:jc w:val="right"/>
            <w:rPr>
              <w:rFonts w:ascii="Palatino" w:eastAsia="Times New Roman" w:hAnsi="Palatino"/>
              <w:i/>
              <w:iCs/>
              <w:sz w:val="16"/>
              <w:szCs w:val="16"/>
            </w:rPr>
          </w:pPr>
        </w:p>
        <w:p w:rsidR="004E76C6" w:rsidRPr="004E76C6" w:rsidRDefault="004E76C6" w:rsidP="004E76C6">
          <w:pPr>
            <w:widowControl w:val="0"/>
            <w:spacing w:after="0" w:line="240" w:lineRule="auto"/>
            <w:jc w:val="right"/>
            <w:rPr>
              <w:rFonts w:ascii="Palatino" w:eastAsia="Times New Roman" w:hAnsi="Palatino"/>
              <w:i/>
              <w:iCs/>
              <w:sz w:val="16"/>
              <w:szCs w:val="16"/>
            </w:rPr>
          </w:pPr>
          <w:r w:rsidRPr="004E76C6">
            <w:rPr>
              <w:rFonts w:ascii="Palatino" w:eastAsia="Times New Roman" w:hAnsi="Palatino"/>
              <w:i/>
              <w:iCs/>
              <w:sz w:val="16"/>
              <w:szCs w:val="16"/>
            </w:rPr>
            <w:t>MAILING ADDRESS:</w:t>
          </w:r>
        </w:p>
        <w:p w:rsidR="004E76C6" w:rsidRPr="004E76C6" w:rsidRDefault="004E76C6" w:rsidP="004E76C6">
          <w:pPr>
            <w:widowControl w:val="0"/>
            <w:spacing w:after="0" w:line="240" w:lineRule="auto"/>
            <w:jc w:val="right"/>
            <w:rPr>
              <w:rFonts w:ascii="Palatino" w:eastAsia="Times New Roman" w:hAnsi="Palatino"/>
              <w:i/>
              <w:iCs/>
              <w:sz w:val="16"/>
              <w:szCs w:val="16"/>
            </w:rPr>
          </w:pPr>
          <w:smartTag w:uri="urn:schemas-microsoft-com:office:smarttags" w:element="address">
            <w:smartTag w:uri="urn:schemas-microsoft-com:office:smarttags" w:element="Street">
              <w:r w:rsidRPr="004E76C6">
                <w:rPr>
                  <w:rFonts w:ascii="Palatino" w:eastAsia="Times New Roman" w:hAnsi="Palatino"/>
                  <w:i/>
                  <w:iCs/>
                  <w:sz w:val="16"/>
                  <w:szCs w:val="16"/>
                </w:rPr>
                <w:t>P. O. Box</w:t>
              </w:r>
            </w:smartTag>
            <w:r w:rsidRPr="004E76C6">
              <w:rPr>
                <w:rFonts w:ascii="Palatino" w:eastAsia="Times New Roman" w:hAnsi="Palatino"/>
                <w:i/>
                <w:iCs/>
                <w:sz w:val="16"/>
                <w:szCs w:val="16"/>
              </w:rPr>
              <w:t xml:space="preserve"> 420603</w:t>
            </w:r>
          </w:smartTag>
        </w:p>
        <w:p w:rsidR="004E76C6" w:rsidRPr="004E76C6" w:rsidRDefault="004E76C6" w:rsidP="004E76C6">
          <w:pPr>
            <w:widowControl w:val="0"/>
            <w:spacing w:after="0" w:line="240" w:lineRule="auto"/>
            <w:jc w:val="right"/>
            <w:rPr>
              <w:rFonts w:ascii="Palatino" w:eastAsia="Times New Roman" w:hAnsi="Palatino"/>
              <w:i/>
              <w:iCs/>
              <w:sz w:val="16"/>
              <w:szCs w:val="16"/>
            </w:rPr>
          </w:pPr>
          <w:smartTag w:uri="urn:schemas-microsoft-com:office:smarttags" w:element="place">
            <w:smartTag w:uri="urn:schemas-microsoft-com:office:smarttags" w:element="City">
              <w:r w:rsidRPr="004E76C6">
                <w:rPr>
                  <w:rFonts w:ascii="Palatino" w:eastAsia="Times New Roman" w:hAnsi="Palatino"/>
                  <w:i/>
                  <w:iCs/>
                  <w:sz w:val="16"/>
                  <w:szCs w:val="16"/>
                </w:rPr>
                <w:t>San Francisco</w:t>
              </w:r>
            </w:smartTag>
            <w:r w:rsidRPr="004E76C6">
              <w:rPr>
                <w:rFonts w:ascii="Palatino" w:eastAsia="Times New Roman" w:hAnsi="Palatino"/>
                <w:i/>
                <w:iCs/>
                <w:sz w:val="16"/>
                <w:szCs w:val="16"/>
              </w:rPr>
              <w:t xml:space="preserve">, </w:t>
            </w:r>
            <w:smartTag w:uri="urn:schemas-microsoft-com:office:smarttags" w:element="State">
              <w:r w:rsidRPr="004E76C6">
                <w:rPr>
                  <w:rFonts w:ascii="Palatino" w:eastAsia="Times New Roman" w:hAnsi="Palatino"/>
                  <w:i/>
                  <w:iCs/>
                  <w:sz w:val="16"/>
                  <w:szCs w:val="16"/>
                </w:rPr>
                <w:t>CA</w:t>
              </w:r>
            </w:smartTag>
            <w:r w:rsidRPr="004E76C6">
              <w:rPr>
                <w:rFonts w:ascii="Palatino" w:eastAsia="Times New Roman" w:hAnsi="Palatino"/>
                <w:i/>
                <w:iCs/>
                <w:sz w:val="16"/>
                <w:szCs w:val="16"/>
              </w:rPr>
              <w:t xml:space="preserve"> </w:t>
            </w:r>
            <w:smartTag w:uri="urn:schemas-microsoft-com:office:smarttags" w:element="PostalCode">
              <w:r w:rsidRPr="004E76C6">
                <w:rPr>
                  <w:rFonts w:ascii="Palatino" w:eastAsia="Times New Roman" w:hAnsi="Palatino"/>
                  <w:i/>
                  <w:iCs/>
                  <w:sz w:val="16"/>
                  <w:szCs w:val="16"/>
                </w:rPr>
                <w:t>94142-0603</w:t>
              </w:r>
            </w:smartTag>
          </w:smartTag>
        </w:p>
      </w:tc>
      <w:tc>
        <w:tcPr>
          <w:tcW w:w="1368" w:type="dxa"/>
          <w:tcBorders>
            <w:top w:val="nil"/>
            <w:left w:val="nil"/>
            <w:bottom w:val="nil"/>
            <w:right w:val="nil"/>
          </w:tcBorders>
        </w:tcPr>
        <w:p w:rsidR="004E76C6" w:rsidRPr="004E76C6" w:rsidRDefault="004E76C6" w:rsidP="004E76C6">
          <w:pPr>
            <w:widowControl w:val="0"/>
            <w:spacing w:after="0" w:line="240" w:lineRule="auto"/>
            <w:jc w:val="right"/>
            <w:rPr>
              <w:rFonts w:ascii="Palatino" w:eastAsia="Times New Roman" w:hAnsi="Palatino"/>
              <w:sz w:val="18"/>
              <w:szCs w:val="18"/>
            </w:rPr>
          </w:pPr>
          <w:r w:rsidRPr="004E76C6">
            <w:rPr>
              <w:rFonts w:ascii="Palatino" w:eastAsia="Times New Roman" w:hAnsi="Palatino"/>
              <w:noProof/>
              <w:sz w:val="18"/>
              <w:szCs w:val="18"/>
            </w:rPr>
            <w:drawing>
              <wp:anchor distT="0" distB="0" distL="114300" distR="114300" simplePos="0" relativeHeight="251659264" behindDoc="0" locked="0" layoutInCell="1" allowOverlap="1" wp14:anchorId="24CDAF94" wp14:editId="01D57751">
                <wp:simplePos x="0" y="0"/>
                <wp:positionH relativeFrom="column">
                  <wp:posOffset>-17145</wp:posOffset>
                </wp:positionH>
                <wp:positionV relativeFrom="paragraph">
                  <wp:posOffset>52705</wp:posOffset>
                </wp:positionV>
                <wp:extent cx="680085" cy="680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680085"/>
                        </a:xfrm>
                        <a:prstGeom prst="rect">
                          <a:avLst/>
                        </a:prstGeom>
                        <a:noFill/>
                      </pic:spPr>
                    </pic:pic>
                  </a:graphicData>
                </a:graphic>
                <wp14:sizeRelH relativeFrom="page">
                  <wp14:pctWidth>0</wp14:pctWidth>
                </wp14:sizeRelH>
                <wp14:sizeRelV relativeFrom="page">
                  <wp14:pctHeight>0</wp14:pctHeight>
                </wp14:sizeRelV>
              </wp:anchor>
            </w:drawing>
          </w:r>
        </w:p>
      </w:tc>
    </w:tr>
  </w:tbl>
  <w:p w:rsidR="004E76C6" w:rsidRDefault="004E7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E424F"/>
    <w:multiLevelType w:val="hybridMultilevel"/>
    <w:tmpl w:val="44AAC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C6"/>
    <w:rsid w:val="004E76C6"/>
    <w:rsid w:val="006712C7"/>
    <w:rsid w:val="007A09BD"/>
    <w:rsid w:val="008C6973"/>
    <w:rsid w:val="009B1255"/>
    <w:rsid w:val="00A9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3620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6C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6C6"/>
  </w:style>
  <w:style w:type="paragraph" w:styleId="Footer">
    <w:name w:val="footer"/>
    <w:basedOn w:val="Normal"/>
    <w:link w:val="FooterChar"/>
    <w:uiPriority w:val="99"/>
    <w:unhideWhenUsed/>
    <w:rsid w:val="004E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6C6"/>
  </w:style>
  <w:style w:type="character" w:styleId="Hyperlink">
    <w:name w:val="Hyperlink"/>
    <w:uiPriority w:val="99"/>
    <w:rsid w:val="004E76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hcs.ca.gov/provgovpart/pharmacy/Pages/PharmSurvey.aspx"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CBEC5004534D4DBCE6B1FD9C3CD35A"/>
        <w:category>
          <w:name w:val="General"/>
          <w:gallery w:val="placeholder"/>
        </w:category>
        <w:types>
          <w:type w:val="bbPlcHdr"/>
        </w:types>
        <w:behaviors>
          <w:behavior w:val="content"/>
        </w:behaviors>
        <w:guid w:val="{48521CCF-19C2-40AC-B0CB-ED8B7D524A4A}"/>
      </w:docPartPr>
      <w:docPartBody>
        <w:p w:rsidR="00000000" w:rsidRDefault="007F34B0" w:rsidP="007F34B0">
          <w:pPr>
            <w:pStyle w:val="CCCBEC5004534D4DBCE6B1FD9C3CD35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B0"/>
    <w:rsid w:val="007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CBEC5004534D4DBCE6B1FD9C3CD35A">
    <w:name w:val="CCCBEC5004534D4DBCE6B1FD9C3CD35A"/>
    <w:rsid w:val="007F3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2018-09-25T23:35:00Z</dcterms:created>
  <dcterms:modified xsi:type="dcterms:W3CDTF">2018-09-25T23:37:00Z</dcterms:modified>
</cp:coreProperties>
</file>