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77777777" w:rsidR="00B36931" w:rsidRDefault="00B36931" w:rsidP="00B36931">
      <w:pPr>
        <w:jc w:val="center"/>
        <w:rPr>
          <w:rFonts w:ascii="Gill Sans MT" w:hAnsi="Gill Sans MT"/>
          <w:sz w:val="20"/>
          <w:szCs w:val="20"/>
        </w:rPr>
      </w:pPr>
      <w:r>
        <w:rPr>
          <w:rFonts w:ascii="Gill Sans MT" w:hAnsi="Gill Sans MT"/>
          <w:sz w:val="20"/>
          <w:szCs w:val="20"/>
        </w:rPr>
        <w:t>1333 Broadway - Suite 510, Oakland, CA  94612 • Tel: (510) 251-9470 • Fax: (510) 763-1592</w:t>
      </w:r>
    </w:p>
    <w:p w14:paraId="132F608E" w14:textId="754B4BF8" w:rsidR="00B36931" w:rsidRPr="004541EA" w:rsidRDefault="006E11BB"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December 1</w:t>
      </w:r>
      <w:r w:rsidR="00B160C5">
        <w:rPr>
          <w:rFonts w:ascii="Times New Roman" w:eastAsia="Times New Roman" w:hAnsi="Times New Roman"/>
          <w:color w:val="000000"/>
          <w:sz w:val="24"/>
          <w:szCs w:val="24"/>
        </w:rPr>
        <w:t>5</w:t>
      </w:r>
      <w:r w:rsidR="00FF5F79">
        <w:rPr>
          <w:rFonts w:ascii="Times New Roman" w:eastAsia="Times New Roman" w:hAnsi="Times New Roman"/>
          <w:color w:val="000000"/>
          <w:sz w:val="24"/>
          <w:szCs w:val="24"/>
        </w:rPr>
        <w:t>, 2020</w:t>
      </w:r>
    </w:p>
    <w:p w14:paraId="29C9F1B4" w14:textId="77777777" w:rsidR="009F6788" w:rsidRPr="004541EA" w:rsidRDefault="009F6788" w:rsidP="00B36931">
      <w:pPr>
        <w:autoSpaceDE w:val="0"/>
        <w:autoSpaceDN w:val="0"/>
        <w:spacing w:after="0" w:line="240" w:lineRule="auto"/>
        <w:jc w:val="both"/>
        <w:rPr>
          <w:rFonts w:ascii="Times New Roman" w:eastAsia="Times New Roman" w:hAnsi="Times New Roman"/>
          <w:color w:val="000000"/>
          <w:sz w:val="24"/>
          <w:szCs w:val="24"/>
        </w:rPr>
      </w:pPr>
    </w:p>
    <w:p w14:paraId="2D0377BE" w14:textId="50F7464C"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sidRPr="004541EA">
        <w:rPr>
          <w:rFonts w:ascii="Times New Roman" w:eastAsia="Times New Roman" w:hAnsi="Times New Roman"/>
          <w:color w:val="000000"/>
          <w:sz w:val="24"/>
          <w:szCs w:val="24"/>
          <w:u w:val="single"/>
        </w:rPr>
        <w:t xml:space="preserve">VIA E-MAIL – </w:t>
      </w:r>
      <w:hyperlink r:id="rId9" w:history="1">
        <w:r w:rsidR="00303FEA" w:rsidRPr="00723927">
          <w:rPr>
            <w:rStyle w:val="Hyperlink"/>
            <w:rFonts w:ascii="Times New Roman" w:eastAsia="Times New Roman" w:hAnsi="Times New Roman"/>
            <w:sz w:val="24"/>
            <w:szCs w:val="24"/>
          </w:rPr>
          <w:t>DWCRules@dir.ca.gov</w:t>
        </w:r>
      </w:hyperlink>
      <w:r w:rsidR="00303FEA">
        <w:rPr>
          <w:rFonts w:ascii="Times New Roman" w:eastAsia="Times New Roman" w:hAnsi="Times New Roman"/>
          <w:color w:val="000000"/>
          <w:sz w:val="24"/>
          <w:szCs w:val="24"/>
          <w:u w:val="single"/>
        </w:rPr>
        <w:t xml:space="preserve"> </w:t>
      </w:r>
    </w:p>
    <w:p w14:paraId="791583F8"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Maureen Gray, Regulations Coordinator</w:t>
      </w:r>
    </w:p>
    <w:p w14:paraId="1E117EFA" w14:textId="0F1082D0" w:rsidR="00B36931" w:rsidRPr="004541EA" w:rsidRDefault="00303FEA"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Department of Industrial Relations</w:t>
      </w:r>
    </w:p>
    <w:p w14:paraId="20410DE5"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P.O. Box 420603</w:t>
      </w:r>
    </w:p>
    <w:p w14:paraId="7ABED232"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San Francisco, CA 94142</w:t>
      </w:r>
    </w:p>
    <w:p w14:paraId="0592B75D"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1FB35F80" w14:textId="66BDE441" w:rsidR="00B36931" w:rsidRPr="004541EA"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sidRPr="004541EA">
        <w:rPr>
          <w:rFonts w:ascii="Times New Roman" w:eastAsia="Times New Roman" w:hAnsi="Times New Roman"/>
          <w:b/>
          <w:color w:val="000000"/>
          <w:sz w:val="24"/>
          <w:szCs w:val="24"/>
        </w:rPr>
        <w:t>Re:</w:t>
      </w:r>
      <w:r w:rsidR="004D5710">
        <w:rPr>
          <w:rFonts w:ascii="Times New Roman" w:eastAsia="Times New Roman" w:hAnsi="Times New Roman"/>
          <w:b/>
          <w:color w:val="000000"/>
          <w:sz w:val="24"/>
          <w:szCs w:val="24"/>
        </w:rPr>
        <w:t xml:space="preserve">  </w:t>
      </w:r>
      <w:r w:rsidRPr="004541EA">
        <w:rPr>
          <w:rFonts w:ascii="Times New Roman" w:eastAsia="Times New Roman" w:hAnsi="Times New Roman"/>
          <w:b/>
          <w:color w:val="000000"/>
          <w:sz w:val="24"/>
          <w:szCs w:val="24"/>
        </w:rPr>
        <w:t xml:space="preserve">Proposed </w:t>
      </w:r>
      <w:r w:rsidR="00F80B77" w:rsidRPr="004541EA">
        <w:rPr>
          <w:rFonts w:ascii="Times New Roman" w:eastAsia="Times New Roman" w:hAnsi="Times New Roman"/>
          <w:b/>
          <w:color w:val="000000"/>
          <w:sz w:val="24"/>
          <w:szCs w:val="24"/>
        </w:rPr>
        <w:t xml:space="preserve">Amendments to </w:t>
      </w:r>
      <w:r w:rsidR="007D0E76">
        <w:rPr>
          <w:rFonts w:ascii="Times New Roman" w:eastAsia="Times New Roman" w:hAnsi="Times New Roman"/>
          <w:b/>
          <w:color w:val="000000"/>
          <w:sz w:val="24"/>
          <w:szCs w:val="24"/>
        </w:rPr>
        <w:t>Medical-Legal</w:t>
      </w:r>
      <w:r w:rsidR="00F80B77" w:rsidRPr="004541EA">
        <w:rPr>
          <w:rFonts w:ascii="Times New Roman" w:eastAsia="Times New Roman" w:hAnsi="Times New Roman"/>
          <w:b/>
          <w:color w:val="000000"/>
          <w:sz w:val="24"/>
          <w:szCs w:val="24"/>
        </w:rPr>
        <w:t xml:space="preserve"> Fee Schedule Regulations</w:t>
      </w:r>
    </w:p>
    <w:p w14:paraId="65E8BCAD" w14:textId="77777777" w:rsidR="00A1511B" w:rsidRPr="004541EA"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7777777" w:rsidR="00B36931" w:rsidRPr="004541EA"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 xml:space="preserve">Dear Ms. Gray:  </w:t>
      </w:r>
    </w:p>
    <w:p w14:paraId="5764965D" w14:textId="77777777" w:rsidR="00B36931" w:rsidRPr="004541EA" w:rsidRDefault="00B36931" w:rsidP="00B36931">
      <w:pPr>
        <w:autoSpaceDE w:val="0"/>
        <w:autoSpaceDN w:val="0"/>
        <w:spacing w:after="0" w:line="240" w:lineRule="auto"/>
        <w:rPr>
          <w:rFonts w:ascii="Times New Roman" w:eastAsia="Times New Roman" w:hAnsi="Times New Roman"/>
          <w:color w:val="000000"/>
          <w:sz w:val="24"/>
          <w:szCs w:val="24"/>
        </w:rPr>
      </w:pPr>
    </w:p>
    <w:p w14:paraId="48E94992" w14:textId="0153CE5F" w:rsidR="00B36931" w:rsidRPr="004541EA" w:rsidRDefault="00B36931" w:rsidP="00B36931">
      <w:pPr>
        <w:spacing w:after="0" w:line="240" w:lineRule="auto"/>
        <w:rPr>
          <w:rFonts w:ascii="Times New Roman" w:eastAsia="Times New Roman" w:hAnsi="Times New Roman"/>
          <w:sz w:val="24"/>
          <w:szCs w:val="24"/>
        </w:rPr>
      </w:pPr>
      <w:r w:rsidRPr="004541EA">
        <w:rPr>
          <w:rFonts w:ascii="Times New Roman" w:eastAsia="Times New Roman" w:hAnsi="Times New Roman"/>
          <w:color w:val="000000"/>
          <w:sz w:val="24"/>
          <w:szCs w:val="24"/>
        </w:rPr>
        <w:t xml:space="preserve">These comments on proposed </w:t>
      </w:r>
      <w:r w:rsidR="00676622">
        <w:rPr>
          <w:rFonts w:ascii="Times New Roman" w:eastAsia="Times New Roman" w:hAnsi="Times New Roman"/>
          <w:color w:val="000000"/>
          <w:sz w:val="24"/>
          <w:szCs w:val="24"/>
        </w:rPr>
        <w:t>amendments</w:t>
      </w:r>
      <w:r w:rsidRPr="004541EA">
        <w:rPr>
          <w:rFonts w:ascii="Times New Roman" w:eastAsia="Times New Roman" w:hAnsi="Times New Roman"/>
          <w:color w:val="000000"/>
          <w:sz w:val="24"/>
          <w:szCs w:val="24"/>
        </w:rPr>
        <w:t xml:space="preserve"> to the Medical</w:t>
      </w:r>
      <w:r w:rsidR="00676622">
        <w:rPr>
          <w:rFonts w:ascii="Times New Roman" w:eastAsia="Times New Roman" w:hAnsi="Times New Roman"/>
          <w:color w:val="000000"/>
          <w:sz w:val="24"/>
          <w:szCs w:val="24"/>
        </w:rPr>
        <w:t>-Legal Fee</w:t>
      </w:r>
      <w:r w:rsidRPr="004541EA">
        <w:rPr>
          <w:rFonts w:ascii="Times New Roman" w:eastAsia="Times New Roman" w:hAnsi="Times New Roman"/>
          <w:color w:val="000000"/>
          <w:sz w:val="24"/>
          <w:szCs w:val="24"/>
        </w:rPr>
        <w:t xml:space="preserve"> Schedule </w:t>
      </w:r>
      <w:r w:rsidR="006570ED">
        <w:rPr>
          <w:rFonts w:ascii="Times New Roman" w:eastAsia="Times New Roman" w:hAnsi="Times New Roman"/>
          <w:color w:val="000000"/>
          <w:sz w:val="24"/>
          <w:szCs w:val="24"/>
        </w:rPr>
        <w:t xml:space="preserve">regulations </w:t>
      </w:r>
      <w:r w:rsidRPr="004541EA">
        <w:rPr>
          <w:rFonts w:ascii="Times New Roman" w:eastAsia="Times New Roman" w:hAnsi="Times New Roman"/>
          <w:color w:val="000000"/>
          <w:sz w:val="24"/>
          <w:szCs w:val="24"/>
        </w:rPr>
        <w:t xml:space="preserve">are presented on behalf of members of the California Workers’ Compensation Institute (the Institute).  Institute </w:t>
      </w:r>
      <w:r w:rsidRPr="004541EA">
        <w:rPr>
          <w:rFonts w:ascii="Times New Roman" w:eastAsia="Times New Roman" w:hAnsi="Times New Roman"/>
          <w:sz w:val="24"/>
          <w:szCs w:val="24"/>
        </w:rPr>
        <w:t>members include insurers writing 8</w:t>
      </w:r>
      <w:r w:rsidR="00887D16">
        <w:rPr>
          <w:rFonts w:ascii="Times New Roman" w:eastAsia="Times New Roman" w:hAnsi="Times New Roman"/>
          <w:sz w:val="24"/>
          <w:szCs w:val="24"/>
        </w:rPr>
        <w:t>3</w:t>
      </w:r>
      <w:r w:rsidRPr="004541EA">
        <w:rPr>
          <w:rFonts w:ascii="Times New Roman" w:eastAsia="Times New Roman" w:hAnsi="Times New Roman"/>
          <w:sz w:val="24"/>
          <w:szCs w:val="24"/>
        </w:rPr>
        <w:t>% of California’s workers’ compensation premium, and self-insured employers with $</w:t>
      </w:r>
      <w:r w:rsidR="00887D16">
        <w:rPr>
          <w:rFonts w:ascii="Times New Roman" w:eastAsia="Times New Roman" w:hAnsi="Times New Roman"/>
          <w:sz w:val="24"/>
          <w:szCs w:val="24"/>
        </w:rPr>
        <w:t>65</w:t>
      </w:r>
      <w:r w:rsidRPr="004541EA">
        <w:rPr>
          <w:rFonts w:ascii="Times New Roman" w:eastAsia="Times New Roman" w:hAnsi="Times New Roman"/>
          <w:sz w:val="24"/>
          <w:szCs w:val="24"/>
        </w:rPr>
        <w:t>B of annual payroll (3</w:t>
      </w:r>
      <w:r w:rsidR="00887D16">
        <w:rPr>
          <w:rFonts w:ascii="Times New Roman" w:eastAsia="Times New Roman" w:hAnsi="Times New Roman"/>
          <w:sz w:val="24"/>
          <w:szCs w:val="24"/>
        </w:rPr>
        <w:t>0</w:t>
      </w:r>
      <w:r w:rsidRPr="004541EA">
        <w:rPr>
          <w:rFonts w:ascii="Times New Roman" w:eastAsia="Times New Roman" w:hAnsi="Times New Roman"/>
          <w:sz w:val="24"/>
          <w:szCs w:val="24"/>
        </w:rPr>
        <w:t>% of the state’s total annual self-insured payroll).</w:t>
      </w:r>
      <w:r w:rsidR="004064DE">
        <w:rPr>
          <w:rFonts w:ascii="Times New Roman" w:eastAsia="Times New Roman" w:hAnsi="Times New Roman"/>
          <w:sz w:val="24"/>
          <w:szCs w:val="24"/>
        </w:rPr>
        <w:t xml:space="preserve"> </w:t>
      </w:r>
    </w:p>
    <w:p w14:paraId="38B8536F" w14:textId="77777777" w:rsidR="00B36931" w:rsidRPr="004541EA" w:rsidRDefault="00B36931" w:rsidP="00B36931">
      <w:pPr>
        <w:spacing w:after="0" w:line="240" w:lineRule="auto"/>
        <w:rPr>
          <w:rFonts w:ascii="Times New Roman" w:eastAsia="Times New Roman" w:hAnsi="Times New Roman"/>
          <w:color w:val="000000"/>
          <w:sz w:val="24"/>
          <w:szCs w:val="24"/>
        </w:rPr>
      </w:pPr>
    </w:p>
    <w:p w14:paraId="6150C6FF" w14:textId="284B5E66" w:rsidR="00B36931" w:rsidRDefault="001D31DD" w:rsidP="00B36931">
      <w:pPr>
        <w:tabs>
          <w:tab w:val="left" w:pos="900"/>
        </w:tabs>
        <w:spacing w:after="0" w:line="240" w:lineRule="auto"/>
        <w:rPr>
          <w:rFonts w:ascii="Times New Roman" w:eastAsia="Times New Roman" w:hAnsi="Times New Roman"/>
          <w:sz w:val="24"/>
          <w:szCs w:val="24"/>
        </w:rPr>
      </w:pPr>
      <w:r w:rsidRPr="001D31DD">
        <w:rPr>
          <w:rFonts w:ascii="Times New Roman" w:eastAsia="Times New Roman" w:hAnsi="Times New Roman"/>
          <w:sz w:val="24"/>
          <w:szCs w:val="24"/>
        </w:rPr>
        <w:t xml:space="preserve">Insurer members of the Institute include AIG, Alaska National Insurance Company, Allianz Global Corporate and Specialty, AmTrust North America, AXA XL Insurance, Berkshire Hathaway, CHUBB, CNA, </w:t>
      </w:r>
      <w:proofErr w:type="spellStart"/>
      <w:r w:rsidRPr="001D31DD">
        <w:rPr>
          <w:rFonts w:ascii="Times New Roman" w:eastAsia="Times New Roman" w:hAnsi="Times New Roman"/>
          <w:sz w:val="24"/>
          <w:szCs w:val="24"/>
        </w:rPr>
        <w:t>CompWest</w:t>
      </w:r>
      <w:proofErr w:type="spellEnd"/>
      <w:r w:rsidRPr="001D31DD">
        <w:rPr>
          <w:rFonts w:ascii="Times New Roman" w:eastAsia="Times New Roman" w:hAnsi="Times New Roman"/>
          <w:sz w:val="24"/>
          <w:szCs w:val="24"/>
        </w:rPr>
        <w:t xml:space="preserve"> Insurance Company, Crum &amp; Forster, EMPLOYERS, Everest National Insurance Company, GUARD Insurance Companies, The Hanover Insurance Company, The Hartford, ICW Group, Liberty Mutual Insurance, North American Casualty Company, Pacific Compensation Insurance Company, Preferred Employers Insurance, Republic Indemnity Company of America, Sentry Insurance, State Compensation Insurance Fund, Travelers, WCF National Insurance, Zenith Insurance, and </w:t>
      </w:r>
      <w:r w:rsidR="006570ED" w:rsidRPr="001D31DD">
        <w:rPr>
          <w:rFonts w:ascii="Times New Roman" w:eastAsia="Times New Roman" w:hAnsi="Times New Roman"/>
          <w:sz w:val="24"/>
          <w:szCs w:val="24"/>
        </w:rPr>
        <w:t>Zü</w:t>
      </w:r>
      <w:r w:rsidR="006570ED">
        <w:rPr>
          <w:rFonts w:ascii="Times New Roman" w:eastAsia="Times New Roman" w:hAnsi="Times New Roman"/>
          <w:sz w:val="24"/>
          <w:szCs w:val="24"/>
        </w:rPr>
        <w:t>r</w:t>
      </w:r>
      <w:r w:rsidR="006570ED" w:rsidRPr="001D31DD">
        <w:rPr>
          <w:rFonts w:ascii="Times New Roman" w:eastAsia="Times New Roman" w:hAnsi="Times New Roman"/>
          <w:sz w:val="24"/>
          <w:szCs w:val="24"/>
        </w:rPr>
        <w:t>ich</w:t>
      </w:r>
      <w:r w:rsidRPr="001D31DD">
        <w:rPr>
          <w:rFonts w:ascii="Times New Roman" w:eastAsia="Times New Roman" w:hAnsi="Times New Roman"/>
          <w:sz w:val="24"/>
          <w:szCs w:val="24"/>
        </w:rPr>
        <w:t xml:space="preserve"> North America.</w:t>
      </w:r>
    </w:p>
    <w:p w14:paraId="0FC8CEA0" w14:textId="77777777" w:rsidR="001D31DD" w:rsidRPr="004541EA" w:rsidRDefault="001D31DD" w:rsidP="00B36931">
      <w:pPr>
        <w:tabs>
          <w:tab w:val="left" w:pos="900"/>
        </w:tabs>
        <w:spacing w:after="0" w:line="240" w:lineRule="auto"/>
        <w:rPr>
          <w:rFonts w:ascii="Times New Roman" w:eastAsia="Times New Roman" w:hAnsi="Times New Roman"/>
          <w:sz w:val="24"/>
          <w:szCs w:val="24"/>
        </w:rPr>
      </w:pPr>
    </w:p>
    <w:p w14:paraId="792267F2" w14:textId="77777777" w:rsidR="001D31DD" w:rsidRDefault="001D31DD" w:rsidP="00F80B77">
      <w:pPr>
        <w:tabs>
          <w:tab w:val="left" w:pos="900"/>
        </w:tabs>
        <w:spacing w:after="200" w:line="240" w:lineRule="auto"/>
        <w:rPr>
          <w:rFonts w:ascii="Times New Roman" w:eastAsia="Times New Roman" w:hAnsi="Times New Roman"/>
          <w:sz w:val="24"/>
          <w:szCs w:val="24"/>
        </w:rPr>
      </w:pPr>
      <w:r w:rsidRPr="001D31DD">
        <w:rPr>
          <w:rFonts w:ascii="Times New Roman" w:eastAsia="Times New Roman" w:hAnsi="Times New Roman"/>
          <w:sz w:val="24"/>
          <w:szCs w:val="24"/>
        </w:rPr>
        <w:t xml:space="preserve">Self-insured employer members include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East Bay Municipal Utility District,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14:paraId="67CA477B" w14:textId="37FAB0EA" w:rsidR="00F80B77" w:rsidRPr="004541EA" w:rsidRDefault="00F80B77" w:rsidP="00F80B77">
      <w:pPr>
        <w:tabs>
          <w:tab w:val="left" w:pos="900"/>
        </w:tabs>
        <w:spacing w:after="200" w:line="240" w:lineRule="auto"/>
        <w:rPr>
          <w:rFonts w:ascii="Times New Roman" w:eastAsia="Times New Roman" w:hAnsi="Times New Roman"/>
          <w:sz w:val="24"/>
          <w:szCs w:val="24"/>
        </w:rPr>
      </w:pPr>
      <w:r w:rsidRPr="004541EA">
        <w:rPr>
          <w:rFonts w:ascii="Times New Roman" w:eastAsia="Times New Roman" w:hAnsi="Times New Roman"/>
          <w:sz w:val="24"/>
          <w:szCs w:val="24"/>
        </w:rPr>
        <w:t>Recommended revisions to the proposed regulation</w:t>
      </w:r>
      <w:r w:rsidR="001D31DD">
        <w:rPr>
          <w:rFonts w:ascii="Times New Roman" w:eastAsia="Times New Roman" w:hAnsi="Times New Roman"/>
          <w:sz w:val="24"/>
          <w:szCs w:val="24"/>
        </w:rPr>
        <w:t>s</w:t>
      </w:r>
      <w:r w:rsidRPr="004541EA">
        <w:rPr>
          <w:rFonts w:ascii="Times New Roman" w:eastAsia="Times New Roman" w:hAnsi="Times New Roman"/>
          <w:sz w:val="24"/>
          <w:szCs w:val="24"/>
        </w:rPr>
        <w:t xml:space="preserve"> are indicated by </w:t>
      </w:r>
      <w:r w:rsidRPr="001D31DD">
        <w:rPr>
          <w:rFonts w:ascii="Times New Roman" w:eastAsia="Times New Roman" w:hAnsi="Times New Roman"/>
          <w:sz w:val="24"/>
          <w:szCs w:val="24"/>
          <w:highlight w:val="yellow"/>
          <w:u w:val="single"/>
        </w:rPr>
        <w:t>underscore</w:t>
      </w:r>
      <w:r w:rsidRPr="004541EA">
        <w:rPr>
          <w:rFonts w:ascii="Times New Roman" w:eastAsia="Times New Roman" w:hAnsi="Times New Roman"/>
          <w:sz w:val="24"/>
          <w:szCs w:val="24"/>
        </w:rPr>
        <w:t xml:space="preserve"> and </w:t>
      </w:r>
      <w:r w:rsidRPr="001D31DD">
        <w:rPr>
          <w:rFonts w:ascii="Times New Roman" w:eastAsia="Times New Roman" w:hAnsi="Times New Roman"/>
          <w:strike/>
          <w:sz w:val="24"/>
          <w:szCs w:val="24"/>
          <w:highlight w:val="yellow"/>
        </w:rPr>
        <w:t>strikeout</w:t>
      </w:r>
      <w:r w:rsidRPr="004541EA">
        <w:rPr>
          <w:rFonts w:ascii="Times New Roman" w:eastAsia="Times New Roman" w:hAnsi="Times New Roman"/>
          <w:sz w:val="24"/>
          <w:szCs w:val="24"/>
        </w:rPr>
        <w:t xml:space="preserve">. Comments and discussion by the Institute are identified by </w:t>
      </w:r>
      <w:r w:rsidRPr="001D31DD">
        <w:rPr>
          <w:rFonts w:ascii="Times New Roman" w:eastAsia="Times New Roman" w:hAnsi="Times New Roman"/>
          <w:i/>
          <w:iCs/>
          <w:sz w:val="24"/>
          <w:szCs w:val="24"/>
        </w:rPr>
        <w:t>italicized text</w:t>
      </w:r>
      <w:r w:rsidRPr="004541EA">
        <w:rPr>
          <w:rFonts w:ascii="Times New Roman" w:eastAsia="Times New Roman" w:hAnsi="Times New Roman"/>
          <w:sz w:val="24"/>
          <w:szCs w:val="24"/>
        </w:rPr>
        <w:t xml:space="preserve">. </w:t>
      </w:r>
    </w:p>
    <w:p w14:paraId="69B6939F" w14:textId="0867CF16" w:rsidR="00F13760" w:rsidRDefault="00F13760" w:rsidP="007A2775">
      <w:pPr>
        <w:shd w:val="clear" w:color="auto" w:fill="FFFFFF"/>
        <w:spacing w:line="360" w:lineRule="atLeast"/>
        <w:rPr>
          <w:rFonts w:ascii="Times New Roman" w:eastAsia="Times New Roman" w:hAnsi="Times New Roman"/>
          <w:b/>
          <w:color w:val="252525"/>
          <w:sz w:val="24"/>
          <w:szCs w:val="24"/>
          <w:lang w:val="en"/>
        </w:rPr>
      </w:pPr>
      <w:r>
        <w:rPr>
          <w:rFonts w:ascii="Times New Roman" w:eastAsia="Times New Roman" w:hAnsi="Times New Roman"/>
          <w:b/>
          <w:color w:val="252525"/>
          <w:sz w:val="24"/>
          <w:szCs w:val="24"/>
          <w:lang w:val="en"/>
        </w:rPr>
        <w:lastRenderedPageBreak/>
        <w:t>Priority Considerations</w:t>
      </w:r>
    </w:p>
    <w:p w14:paraId="4465DB03" w14:textId="7170D6B3" w:rsidR="00412E75" w:rsidRDefault="00F13760" w:rsidP="00F13760">
      <w:pPr>
        <w:shd w:val="clear" w:color="auto" w:fill="FFFFFF"/>
        <w:spacing w:line="240" w:lineRule="auto"/>
        <w:rPr>
          <w:rFonts w:ascii="Times New Roman" w:eastAsia="Times New Roman" w:hAnsi="Times New Roman"/>
          <w:bCs/>
          <w:color w:val="252525"/>
          <w:sz w:val="24"/>
          <w:szCs w:val="24"/>
          <w:lang w:val="en"/>
        </w:rPr>
      </w:pPr>
      <w:r>
        <w:rPr>
          <w:rFonts w:ascii="Times New Roman" w:eastAsia="Times New Roman" w:hAnsi="Times New Roman"/>
          <w:bCs/>
          <w:color w:val="252525"/>
          <w:sz w:val="24"/>
          <w:szCs w:val="24"/>
          <w:lang w:val="en"/>
        </w:rPr>
        <w:t xml:space="preserve">The California Workers’ Compensation Institute is deeply concerned that the </w:t>
      </w:r>
      <w:r w:rsidR="000232A6">
        <w:rPr>
          <w:rFonts w:ascii="Times New Roman" w:eastAsia="Times New Roman" w:hAnsi="Times New Roman"/>
          <w:bCs/>
          <w:color w:val="252525"/>
          <w:sz w:val="24"/>
          <w:szCs w:val="24"/>
          <w:lang w:val="en"/>
        </w:rPr>
        <w:t xml:space="preserve">year-long </w:t>
      </w:r>
      <w:r>
        <w:rPr>
          <w:rFonts w:ascii="Times New Roman" w:eastAsia="Times New Roman" w:hAnsi="Times New Roman"/>
          <w:bCs/>
          <w:color w:val="252525"/>
          <w:sz w:val="24"/>
          <w:szCs w:val="24"/>
          <w:lang w:val="en"/>
        </w:rPr>
        <w:t>process undertaken by the Division to obtain input and support fr</w:t>
      </w:r>
      <w:r w:rsidR="000232A6">
        <w:rPr>
          <w:rFonts w:ascii="Times New Roman" w:eastAsia="Times New Roman" w:hAnsi="Times New Roman"/>
          <w:bCs/>
          <w:color w:val="252525"/>
          <w:sz w:val="24"/>
          <w:szCs w:val="24"/>
          <w:lang w:val="en"/>
        </w:rPr>
        <w:t>o</w:t>
      </w:r>
      <w:r>
        <w:rPr>
          <w:rFonts w:ascii="Times New Roman" w:eastAsia="Times New Roman" w:hAnsi="Times New Roman"/>
          <w:bCs/>
          <w:color w:val="252525"/>
          <w:sz w:val="24"/>
          <w:szCs w:val="24"/>
          <w:lang w:val="en"/>
        </w:rPr>
        <w:t xml:space="preserve">m the entire community (including </w:t>
      </w:r>
      <w:r w:rsidR="005A4623">
        <w:rPr>
          <w:rFonts w:ascii="Times New Roman" w:eastAsia="Times New Roman" w:hAnsi="Times New Roman"/>
          <w:bCs/>
          <w:color w:val="252525"/>
          <w:sz w:val="24"/>
          <w:szCs w:val="24"/>
          <w:lang w:val="en"/>
        </w:rPr>
        <w:t>claims administrators</w:t>
      </w:r>
      <w:r>
        <w:rPr>
          <w:rFonts w:ascii="Times New Roman" w:eastAsia="Times New Roman" w:hAnsi="Times New Roman"/>
          <w:bCs/>
          <w:color w:val="252525"/>
          <w:sz w:val="24"/>
          <w:szCs w:val="24"/>
          <w:lang w:val="en"/>
        </w:rPr>
        <w:t xml:space="preserve">, providers, and injured employees) has been </w:t>
      </w:r>
      <w:r w:rsidR="00E27B60">
        <w:rPr>
          <w:rFonts w:ascii="Times New Roman" w:eastAsia="Times New Roman" w:hAnsi="Times New Roman"/>
          <w:bCs/>
          <w:color w:val="252525"/>
          <w:sz w:val="24"/>
          <w:szCs w:val="24"/>
          <w:lang w:val="en"/>
        </w:rPr>
        <w:t>compromised</w:t>
      </w:r>
      <w:r w:rsidR="0096696E">
        <w:rPr>
          <w:rFonts w:ascii="Times New Roman" w:eastAsia="Times New Roman" w:hAnsi="Times New Roman"/>
          <w:bCs/>
          <w:color w:val="252525"/>
          <w:sz w:val="24"/>
          <w:szCs w:val="24"/>
          <w:lang w:val="en"/>
        </w:rPr>
        <w:t xml:space="preserve">.  The Institute wishes to share our </w:t>
      </w:r>
      <w:r w:rsidR="00B70EA7">
        <w:rPr>
          <w:rFonts w:ascii="Times New Roman" w:eastAsia="Times New Roman" w:hAnsi="Times New Roman"/>
          <w:bCs/>
          <w:color w:val="252525"/>
          <w:sz w:val="24"/>
          <w:szCs w:val="24"/>
          <w:lang w:val="en"/>
        </w:rPr>
        <w:t>profound</w:t>
      </w:r>
      <w:r w:rsidR="0096696E">
        <w:rPr>
          <w:rFonts w:ascii="Times New Roman" w:eastAsia="Times New Roman" w:hAnsi="Times New Roman"/>
          <w:bCs/>
          <w:color w:val="252525"/>
          <w:sz w:val="24"/>
          <w:szCs w:val="24"/>
          <w:lang w:val="en"/>
        </w:rPr>
        <w:t xml:space="preserve"> concerns about the entire premise of the proposed </w:t>
      </w:r>
      <w:r w:rsidR="00303FEA">
        <w:rPr>
          <w:rFonts w:ascii="Times New Roman" w:eastAsia="Times New Roman" w:hAnsi="Times New Roman"/>
          <w:bCs/>
          <w:color w:val="252525"/>
          <w:sz w:val="24"/>
          <w:szCs w:val="24"/>
          <w:lang w:val="en"/>
        </w:rPr>
        <w:t>Medical-Legal Fee Schedule</w:t>
      </w:r>
      <w:r w:rsidR="0096696E">
        <w:rPr>
          <w:rFonts w:ascii="Times New Roman" w:eastAsia="Times New Roman" w:hAnsi="Times New Roman"/>
          <w:bCs/>
          <w:color w:val="252525"/>
          <w:sz w:val="24"/>
          <w:szCs w:val="24"/>
          <w:lang w:val="en"/>
        </w:rPr>
        <w:t xml:space="preserve"> regulations.</w:t>
      </w:r>
      <w:r w:rsidR="000232A6">
        <w:rPr>
          <w:rFonts w:ascii="Times New Roman" w:eastAsia="Times New Roman" w:hAnsi="Times New Roman"/>
          <w:bCs/>
          <w:color w:val="252525"/>
          <w:sz w:val="24"/>
          <w:szCs w:val="24"/>
          <w:lang w:val="en"/>
        </w:rPr>
        <w:t xml:space="preserve"> </w:t>
      </w:r>
      <w:r>
        <w:rPr>
          <w:rFonts w:ascii="Times New Roman" w:eastAsia="Times New Roman" w:hAnsi="Times New Roman"/>
          <w:bCs/>
          <w:color w:val="252525"/>
          <w:sz w:val="24"/>
          <w:szCs w:val="24"/>
          <w:lang w:val="en"/>
        </w:rPr>
        <w:t xml:space="preserve">       </w:t>
      </w:r>
    </w:p>
    <w:p w14:paraId="1AE9A66C" w14:textId="42F757A9" w:rsidR="007B32BA" w:rsidRDefault="00F13760" w:rsidP="00412E75">
      <w:pPr>
        <w:pStyle w:val="ListParagraph"/>
        <w:numPr>
          <w:ilvl w:val="0"/>
          <w:numId w:val="7"/>
        </w:numPr>
        <w:shd w:val="clear" w:color="auto" w:fill="FFFFFF"/>
        <w:spacing w:line="240" w:lineRule="auto"/>
        <w:rPr>
          <w:rFonts w:ascii="Times New Roman" w:eastAsia="Times New Roman" w:hAnsi="Times New Roman"/>
          <w:bCs/>
          <w:color w:val="252525"/>
          <w:sz w:val="24"/>
          <w:szCs w:val="24"/>
          <w:lang w:val="en"/>
        </w:rPr>
      </w:pPr>
      <w:r w:rsidRPr="00412E75">
        <w:rPr>
          <w:rFonts w:ascii="Times New Roman" w:eastAsia="Times New Roman" w:hAnsi="Times New Roman"/>
          <w:bCs/>
          <w:color w:val="252525"/>
          <w:sz w:val="24"/>
          <w:szCs w:val="24"/>
          <w:lang w:val="en"/>
        </w:rPr>
        <w:t xml:space="preserve">During the extensive stakeholder meetings, it was understood that the Division wished to move away from </w:t>
      </w:r>
      <w:r w:rsidR="00D977CF">
        <w:rPr>
          <w:rFonts w:ascii="Times New Roman" w:eastAsia="Times New Roman" w:hAnsi="Times New Roman"/>
          <w:bCs/>
          <w:color w:val="252525"/>
          <w:sz w:val="24"/>
          <w:szCs w:val="24"/>
          <w:lang w:val="en"/>
        </w:rPr>
        <w:t>a</w:t>
      </w:r>
      <w:r w:rsidRPr="00412E75">
        <w:rPr>
          <w:rFonts w:ascii="Times New Roman" w:eastAsia="Times New Roman" w:hAnsi="Times New Roman"/>
          <w:bCs/>
          <w:color w:val="252525"/>
          <w:sz w:val="24"/>
          <w:szCs w:val="24"/>
          <w:lang w:val="en"/>
        </w:rPr>
        <w:t xml:space="preserve"> </w:t>
      </w:r>
      <w:r w:rsidR="00303FEA">
        <w:rPr>
          <w:rFonts w:ascii="Times New Roman" w:eastAsia="Times New Roman" w:hAnsi="Times New Roman"/>
          <w:bCs/>
          <w:color w:val="252525"/>
          <w:sz w:val="24"/>
          <w:szCs w:val="24"/>
          <w:lang w:val="en"/>
        </w:rPr>
        <w:t>f</w:t>
      </w:r>
      <w:r w:rsidRPr="00412E75">
        <w:rPr>
          <w:rFonts w:ascii="Times New Roman" w:eastAsia="Times New Roman" w:hAnsi="Times New Roman"/>
          <w:bCs/>
          <w:color w:val="252525"/>
          <w:sz w:val="24"/>
          <w:szCs w:val="24"/>
          <w:lang w:val="en"/>
        </w:rPr>
        <w:t xml:space="preserve">ee </w:t>
      </w:r>
      <w:r w:rsidR="00303FEA">
        <w:rPr>
          <w:rFonts w:ascii="Times New Roman" w:eastAsia="Times New Roman" w:hAnsi="Times New Roman"/>
          <w:bCs/>
          <w:color w:val="252525"/>
          <w:sz w:val="24"/>
          <w:szCs w:val="24"/>
          <w:lang w:val="en"/>
        </w:rPr>
        <w:t>s</w:t>
      </w:r>
      <w:r w:rsidRPr="00412E75">
        <w:rPr>
          <w:rFonts w:ascii="Times New Roman" w:eastAsia="Times New Roman" w:hAnsi="Times New Roman"/>
          <w:bCs/>
          <w:color w:val="252525"/>
          <w:sz w:val="24"/>
          <w:szCs w:val="24"/>
          <w:lang w:val="en"/>
        </w:rPr>
        <w:t xml:space="preserve">chedule based on complexity factors in favor of a flat fee system that would avoid the problematic features of the current system.  </w:t>
      </w:r>
      <w:r w:rsidR="00E50AF3">
        <w:rPr>
          <w:rFonts w:ascii="Times New Roman" w:eastAsia="Times New Roman" w:hAnsi="Times New Roman"/>
          <w:bCs/>
          <w:color w:val="252525"/>
          <w:sz w:val="24"/>
          <w:szCs w:val="24"/>
          <w:lang w:val="en"/>
        </w:rPr>
        <w:t>T</w:t>
      </w:r>
      <w:r w:rsidR="000232A6">
        <w:rPr>
          <w:rFonts w:ascii="Times New Roman" w:eastAsia="Times New Roman" w:hAnsi="Times New Roman"/>
          <w:bCs/>
          <w:color w:val="252525"/>
          <w:sz w:val="24"/>
          <w:szCs w:val="24"/>
          <w:lang w:val="en"/>
        </w:rPr>
        <w:t>he</w:t>
      </w:r>
      <w:r w:rsidRPr="00412E75">
        <w:rPr>
          <w:rFonts w:ascii="Times New Roman" w:eastAsia="Times New Roman" w:hAnsi="Times New Roman"/>
          <w:bCs/>
          <w:color w:val="252525"/>
          <w:sz w:val="24"/>
          <w:szCs w:val="24"/>
          <w:lang w:val="en"/>
        </w:rPr>
        <w:t xml:space="preserve"> proposal for a flat fee system </w:t>
      </w:r>
      <w:r w:rsidR="00412E75" w:rsidRPr="00412E75">
        <w:rPr>
          <w:rFonts w:ascii="Times New Roman" w:eastAsia="Times New Roman" w:hAnsi="Times New Roman"/>
          <w:bCs/>
          <w:color w:val="252525"/>
          <w:sz w:val="24"/>
          <w:szCs w:val="24"/>
          <w:lang w:val="en"/>
        </w:rPr>
        <w:t xml:space="preserve">was </w:t>
      </w:r>
      <w:r w:rsidR="00E50AF3">
        <w:rPr>
          <w:rFonts w:ascii="Times New Roman" w:eastAsia="Times New Roman" w:hAnsi="Times New Roman"/>
          <w:bCs/>
          <w:color w:val="252525"/>
          <w:sz w:val="24"/>
          <w:szCs w:val="24"/>
          <w:lang w:val="en"/>
        </w:rPr>
        <w:t xml:space="preserve">quickly </w:t>
      </w:r>
      <w:r w:rsidR="000232A6">
        <w:rPr>
          <w:rFonts w:ascii="Times New Roman" w:eastAsia="Times New Roman" w:hAnsi="Times New Roman"/>
          <w:bCs/>
          <w:color w:val="252525"/>
          <w:sz w:val="24"/>
          <w:szCs w:val="24"/>
          <w:lang w:val="en"/>
        </w:rPr>
        <w:t xml:space="preserve">joined </w:t>
      </w:r>
      <w:r w:rsidR="00412E75" w:rsidRPr="00412E75">
        <w:rPr>
          <w:rFonts w:ascii="Times New Roman" w:eastAsia="Times New Roman" w:hAnsi="Times New Roman"/>
          <w:bCs/>
          <w:color w:val="252525"/>
          <w:sz w:val="24"/>
          <w:szCs w:val="24"/>
          <w:lang w:val="en"/>
        </w:rPr>
        <w:t xml:space="preserve">to a per page fee – but </w:t>
      </w:r>
      <w:r w:rsidR="00E50AF3">
        <w:rPr>
          <w:rFonts w:ascii="Times New Roman" w:eastAsia="Times New Roman" w:hAnsi="Times New Roman"/>
          <w:bCs/>
          <w:color w:val="252525"/>
          <w:sz w:val="24"/>
          <w:szCs w:val="24"/>
          <w:lang w:val="en"/>
        </w:rPr>
        <w:t>throughout the discussions,</w:t>
      </w:r>
      <w:r w:rsidR="000232A6">
        <w:rPr>
          <w:rFonts w:ascii="Times New Roman" w:eastAsia="Times New Roman" w:hAnsi="Times New Roman"/>
          <w:bCs/>
          <w:color w:val="252525"/>
          <w:sz w:val="24"/>
          <w:szCs w:val="24"/>
          <w:lang w:val="en"/>
        </w:rPr>
        <w:t xml:space="preserve"> </w:t>
      </w:r>
      <w:r w:rsidR="00412E75" w:rsidRPr="00412E75">
        <w:rPr>
          <w:rFonts w:ascii="Times New Roman" w:eastAsia="Times New Roman" w:hAnsi="Times New Roman"/>
          <w:bCs/>
          <w:color w:val="252525"/>
          <w:sz w:val="24"/>
          <w:szCs w:val="24"/>
          <w:lang w:val="en"/>
        </w:rPr>
        <w:t>th</w:t>
      </w:r>
      <w:r w:rsidR="00E50AF3">
        <w:rPr>
          <w:rFonts w:ascii="Times New Roman" w:eastAsia="Times New Roman" w:hAnsi="Times New Roman"/>
          <w:bCs/>
          <w:color w:val="252525"/>
          <w:sz w:val="24"/>
          <w:szCs w:val="24"/>
          <w:lang w:val="en"/>
        </w:rPr>
        <w:t>e</w:t>
      </w:r>
      <w:r w:rsidR="00412E75" w:rsidRPr="00412E75">
        <w:rPr>
          <w:rFonts w:ascii="Times New Roman" w:eastAsia="Times New Roman" w:hAnsi="Times New Roman"/>
          <w:bCs/>
          <w:color w:val="252525"/>
          <w:sz w:val="24"/>
          <w:szCs w:val="24"/>
          <w:lang w:val="en"/>
        </w:rPr>
        <w:t xml:space="preserve"> per page fee was 100% premised upon the creation of a Records Organizer that would </w:t>
      </w:r>
      <w:r w:rsidR="00E50AF3">
        <w:rPr>
          <w:rFonts w:ascii="Times New Roman" w:eastAsia="Times New Roman" w:hAnsi="Times New Roman"/>
          <w:bCs/>
          <w:color w:val="252525"/>
          <w:sz w:val="24"/>
          <w:szCs w:val="24"/>
          <w:lang w:val="en"/>
        </w:rPr>
        <w:t xml:space="preserve">serve to eliminate duplicate records and ensure that a single, discrete set of chronologically sorted records would be presented to the provider.  </w:t>
      </w:r>
      <w:r w:rsidR="00906331">
        <w:rPr>
          <w:rFonts w:ascii="Times New Roman" w:eastAsia="Times New Roman" w:hAnsi="Times New Roman"/>
          <w:bCs/>
          <w:color w:val="252525"/>
          <w:sz w:val="24"/>
          <w:szCs w:val="24"/>
          <w:lang w:val="en"/>
        </w:rPr>
        <w:t xml:space="preserve">That process would benefit all participants, including medical-legal providers, </w:t>
      </w:r>
      <w:r w:rsidR="005A4623">
        <w:rPr>
          <w:rFonts w:ascii="Times New Roman" w:eastAsia="Times New Roman" w:hAnsi="Times New Roman"/>
          <w:bCs/>
          <w:color w:val="252525"/>
          <w:sz w:val="24"/>
          <w:szCs w:val="24"/>
          <w:lang w:val="en"/>
        </w:rPr>
        <w:t>claims administrators</w:t>
      </w:r>
      <w:r w:rsidR="00906331">
        <w:rPr>
          <w:rFonts w:ascii="Times New Roman" w:eastAsia="Times New Roman" w:hAnsi="Times New Roman"/>
          <w:bCs/>
          <w:color w:val="252525"/>
          <w:sz w:val="24"/>
          <w:szCs w:val="24"/>
          <w:lang w:val="en"/>
        </w:rPr>
        <w:t xml:space="preserve">, and injured workers.  </w:t>
      </w:r>
      <w:r w:rsidR="00D977CF">
        <w:rPr>
          <w:rFonts w:ascii="Times New Roman" w:eastAsia="Times New Roman" w:hAnsi="Times New Roman"/>
          <w:bCs/>
          <w:color w:val="252525"/>
          <w:sz w:val="24"/>
          <w:szCs w:val="24"/>
          <w:lang w:val="en"/>
        </w:rPr>
        <w:t>A mandated</w:t>
      </w:r>
      <w:r w:rsidR="00E50AF3">
        <w:rPr>
          <w:rFonts w:ascii="Times New Roman" w:eastAsia="Times New Roman" w:hAnsi="Times New Roman"/>
          <w:bCs/>
          <w:color w:val="252525"/>
          <w:sz w:val="24"/>
          <w:szCs w:val="24"/>
          <w:lang w:val="en"/>
        </w:rPr>
        <w:t xml:space="preserve"> Records Organizer concept </w:t>
      </w:r>
      <w:r w:rsidR="00D977CF">
        <w:rPr>
          <w:rFonts w:ascii="Times New Roman" w:eastAsia="Times New Roman" w:hAnsi="Times New Roman"/>
          <w:bCs/>
          <w:color w:val="252525"/>
          <w:sz w:val="24"/>
          <w:szCs w:val="24"/>
          <w:lang w:val="en"/>
        </w:rPr>
        <w:t xml:space="preserve">is the </w:t>
      </w:r>
      <w:r w:rsidR="00D977CF" w:rsidRPr="00D977CF">
        <w:rPr>
          <w:rFonts w:ascii="Times New Roman" w:eastAsia="Times New Roman" w:hAnsi="Times New Roman"/>
          <w:bCs/>
          <w:i/>
          <w:iCs/>
          <w:color w:val="252525"/>
          <w:sz w:val="24"/>
          <w:szCs w:val="24"/>
          <w:lang w:val="en"/>
        </w:rPr>
        <w:t>sine qua non</w:t>
      </w:r>
      <w:r w:rsidR="00D977CF">
        <w:rPr>
          <w:rFonts w:ascii="Times New Roman" w:eastAsia="Times New Roman" w:hAnsi="Times New Roman"/>
          <w:bCs/>
          <w:color w:val="252525"/>
          <w:sz w:val="24"/>
          <w:szCs w:val="24"/>
          <w:lang w:val="en"/>
        </w:rPr>
        <w:t xml:space="preserve"> of a per page fee and thus the entire flat fee system.  </w:t>
      </w:r>
    </w:p>
    <w:p w14:paraId="65355960" w14:textId="1DCE3421" w:rsidR="00F13760" w:rsidRPr="007B32BA" w:rsidRDefault="00906331" w:rsidP="007B32BA">
      <w:pPr>
        <w:shd w:val="clear" w:color="auto" w:fill="FFFFFF"/>
        <w:spacing w:line="240" w:lineRule="auto"/>
        <w:ind w:left="720"/>
        <w:rPr>
          <w:rFonts w:ascii="Times New Roman" w:eastAsia="Times New Roman" w:hAnsi="Times New Roman"/>
          <w:bCs/>
          <w:color w:val="252525"/>
          <w:sz w:val="24"/>
          <w:szCs w:val="24"/>
          <w:lang w:val="en"/>
        </w:rPr>
      </w:pPr>
      <w:r>
        <w:rPr>
          <w:rFonts w:ascii="Times New Roman" w:eastAsia="Times New Roman" w:hAnsi="Times New Roman"/>
          <w:bCs/>
          <w:color w:val="252525"/>
          <w:sz w:val="24"/>
          <w:szCs w:val="24"/>
          <w:lang w:val="en"/>
        </w:rPr>
        <w:t xml:space="preserve">The Division has the power to both implement and compel compliance with a Records Organizer system.  </w:t>
      </w:r>
      <w:r w:rsidR="007B32BA">
        <w:rPr>
          <w:rFonts w:ascii="Times New Roman" w:eastAsia="Times New Roman" w:hAnsi="Times New Roman"/>
          <w:bCs/>
          <w:color w:val="252525"/>
          <w:sz w:val="24"/>
          <w:szCs w:val="24"/>
          <w:lang w:val="en"/>
        </w:rPr>
        <w:t>Labor Code section 4627 provides the administrative director with authority to “</w:t>
      </w:r>
      <w:r w:rsidR="007B32BA" w:rsidRPr="00906331">
        <w:rPr>
          <w:rFonts w:ascii="Times New Roman" w:eastAsia="Times New Roman" w:hAnsi="Times New Roman"/>
          <w:bCs/>
          <w:i/>
          <w:iCs/>
          <w:color w:val="252525"/>
          <w:sz w:val="24"/>
          <w:szCs w:val="24"/>
          <w:lang w:val="en"/>
        </w:rPr>
        <w:t>promulgate</w:t>
      </w:r>
      <w:r w:rsidR="007B32BA">
        <w:rPr>
          <w:rFonts w:ascii="Times New Roman" w:eastAsia="Times New Roman" w:hAnsi="Times New Roman"/>
          <w:bCs/>
          <w:color w:val="252525"/>
          <w:sz w:val="24"/>
          <w:szCs w:val="24"/>
          <w:lang w:val="en"/>
        </w:rPr>
        <w:t xml:space="preserve"> such reasonable rules and regulations as may be necessary to interpret [Article 2.5, Medical-Legal Expenses] and </w:t>
      </w:r>
      <w:r w:rsidR="007B32BA" w:rsidRPr="007B32BA">
        <w:rPr>
          <w:rFonts w:ascii="Times New Roman" w:eastAsia="Times New Roman" w:hAnsi="Times New Roman"/>
          <w:bCs/>
          <w:i/>
          <w:iCs/>
          <w:color w:val="252525"/>
          <w:sz w:val="24"/>
          <w:szCs w:val="24"/>
          <w:lang w:val="en"/>
        </w:rPr>
        <w:t xml:space="preserve">compel compliance </w:t>
      </w:r>
      <w:r w:rsidR="007B32BA" w:rsidRPr="00B70EA7">
        <w:rPr>
          <w:rFonts w:ascii="Times New Roman" w:eastAsia="Times New Roman" w:hAnsi="Times New Roman"/>
          <w:bCs/>
          <w:color w:val="252525"/>
          <w:sz w:val="24"/>
          <w:szCs w:val="24"/>
          <w:lang w:val="en"/>
        </w:rPr>
        <w:t>with its provisions.”</w:t>
      </w:r>
      <w:r w:rsidR="007B32BA">
        <w:rPr>
          <w:rFonts w:ascii="Times New Roman" w:eastAsia="Times New Roman" w:hAnsi="Times New Roman"/>
          <w:bCs/>
          <w:color w:val="252525"/>
          <w:sz w:val="24"/>
          <w:szCs w:val="24"/>
          <w:lang w:val="en"/>
        </w:rPr>
        <w:t xml:space="preserve">  </w:t>
      </w:r>
      <w:r w:rsidR="00E76762" w:rsidRPr="007B32BA">
        <w:rPr>
          <w:rFonts w:ascii="Times New Roman" w:eastAsia="Times New Roman" w:hAnsi="Times New Roman"/>
          <w:bCs/>
          <w:color w:val="252525"/>
          <w:sz w:val="24"/>
          <w:szCs w:val="24"/>
          <w:lang w:val="en"/>
        </w:rPr>
        <w:t xml:space="preserve">If the Division </w:t>
      </w:r>
      <w:r w:rsidR="007B32BA">
        <w:rPr>
          <w:rFonts w:ascii="Times New Roman" w:eastAsia="Times New Roman" w:hAnsi="Times New Roman"/>
          <w:bCs/>
          <w:color w:val="252525"/>
          <w:sz w:val="24"/>
          <w:szCs w:val="24"/>
          <w:lang w:val="en"/>
        </w:rPr>
        <w:t xml:space="preserve">nevertheless </w:t>
      </w:r>
      <w:r w:rsidR="00E76762" w:rsidRPr="007B32BA">
        <w:rPr>
          <w:rFonts w:ascii="Times New Roman" w:eastAsia="Times New Roman" w:hAnsi="Times New Roman"/>
          <w:bCs/>
          <w:color w:val="252525"/>
          <w:sz w:val="24"/>
          <w:szCs w:val="24"/>
          <w:lang w:val="en"/>
        </w:rPr>
        <w:t xml:space="preserve">believes that it does not have the authority under </w:t>
      </w:r>
      <w:r w:rsidR="00FC0C02">
        <w:rPr>
          <w:rFonts w:ascii="Times New Roman" w:eastAsia="Times New Roman" w:hAnsi="Times New Roman"/>
          <w:bCs/>
          <w:color w:val="252525"/>
          <w:sz w:val="24"/>
          <w:szCs w:val="24"/>
          <w:lang w:val="en"/>
        </w:rPr>
        <w:t xml:space="preserve">section 4627 </w:t>
      </w:r>
      <w:r w:rsidR="00E76762" w:rsidRPr="007B32BA">
        <w:rPr>
          <w:rFonts w:ascii="Times New Roman" w:eastAsia="Times New Roman" w:hAnsi="Times New Roman"/>
          <w:bCs/>
          <w:color w:val="252525"/>
          <w:sz w:val="24"/>
          <w:szCs w:val="24"/>
          <w:lang w:val="en"/>
        </w:rPr>
        <w:t xml:space="preserve">to mandate the orderly process of records submission, then the flat fee system </w:t>
      </w:r>
      <w:r w:rsidR="00E27B60">
        <w:rPr>
          <w:rFonts w:ascii="Times New Roman" w:eastAsia="Times New Roman" w:hAnsi="Times New Roman"/>
          <w:bCs/>
          <w:color w:val="252525"/>
          <w:sz w:val="24"/>
          <w:szCs w:val="24"/>
          <w:lang w:val="en"/>
        </w:rPr>
        <w:t>should</w:t>
      </w:r>
      <w:r w:rsidR="00E27B60" w:rsidRPr="007B32BA">
        <w:rPr>
          <w:rFonts w:ascii="Times New Roman" w:eastAsia="Times New Roman" w:hAnsi="Times New Roman"/>
          <w:bCs/>
          <w:color w:val="252525"/>
          <w:sz w:val="24"/>
          <w:szCs w:val="24"/>
          <w:lang w:val="en"/>
        </w:rPr>
        <w:t xml:space="preserve"> </w:t>
      </w:r>
      <w:r w:rsidR="00E76762" w:rsidRPr="007B32BA">
        <w:rPr>
          <w:rFonts w:ascii="Times New Roman" w:eastAsia="Times New Roman" w:hAnsi="Times New Roman"/>
          <w:bCs/>
          <w:color w:val="252525"/>
          <w:sz w:val="24"/>
          <w:szCs w:val="24"/>
          <w:lang w:val="en"/>
        </w:rPr>
        <w:t xml:space="preserve">be postponed until legislation providing that authority can be put into place.  </w:t>
      </w:r>
    </w:p>
    <w:p w14:paraId="25681AA0" w14:textId="25EAD426" w:rsidR="00B5280E" w:rsidRPr="00B5280E" w:rsidRDefault="00906331" w:rsidP="00B5280E">
      <w:pPr>
        <w:pStyle w:val="ListParagraph"/>
        <w:numPr>
          <w:ilvl w:val="0"/>
          <w:numId w:val="7"/>
        </w:numPr>
        <w:shd w:val="clear" w:color="auto" w:fill="FFFFFF"/>
        <w:spacing w:line="240" w:lineRule="auto"/>
        <w:contextualSpacing w:val="0"/>
        <w:rPr>
          <w:rFonts w:ascii="Times New Roman" w:eastAsia="Times New Roman" w:hAnsi="Times New Roman"/>
          <w:bCs/>
          <w:color w:val="252525"/>
          <w:sz w:val="24"/>
          <w:szCs w:val="24"/>
          <w:lang w:val="en"/>
        </w:rPr>
      </w:pPr>
      <w:r>
        <w:rPr>
          <w:rFonts w:ascii="Times New Roman" w:eastAsia="Times New Roman" w:hAnsi="Times New Roman"/>
          <w:bCs/>
          <w:color w:val="252525"/>
          <w:sz w:val="24"/>
          <w:szCs w:val="24"/>
          <w:lang w:val="en"/>
        </w:rPr>
        <w:t xml:space="preserve">According to the Initial Statement of Reasons, </w:t>
      </w:r>
      <w:r w:rsidR="00B5280E" w:rsidRPr="00B5280E">
        <w:rPr>
          <w:rFonts w:ascii="Times New Roman" w:eastAsia="Times New Roman" w:hAnsi="Times New Roman"/>
          <w:bCs/>
          <w:color w:val="252525"/>
          <w:sz w:val="24"/>
          <w:szCs w:val="24"/>
          <w:lang w:val="en"/>
        </w:rPr>
        <w:t xml:space="preserve">“The schedule based on a flat fee system should reduce frictional costs. </w:t>
      </w:r>
      <w:r w:rsidR="00303FEA">
        <w:rPr>
          <w:rFonts w:ascii="Times New Roman" w:eastAsia="Times New Roman" w:hAnsi="Times New Roman"/>
          <w:bCs/>
          <w:color w:val="252525"/>
          <w:sz w:val="24"/>
          <w:szCs w:val="24"/>
          <w:lang w:val="en"/>
        </w:rPr>
        <w:t xml:space="preserve"> </w:t>
      </w:r>
      <w:r w:rsidR="00B5280E" w:rsidRPr="00B5280E">
        <w:rPr>
          <w:rFonts w:ascii="Times New Roman" w:eastAsia="Times New Roman" w:hAnsi="Times New Roman"/>
          <w:bCs/>
          <w:color w:val="252525"/>
          <w:sz w:val="24"/>
          <w:szCs w:val="24"/>
          <w:lang w:val="en"/>
        </w:rPr>
        <w:t xml:space="preserve">The increase in amounts payable to Providers is expected to increase report quality and attract new physicians to the QME program.” </w:t>
      </w:r>
    </w:p>
    <w:p w14:paraId="25D23F4C" w14:textId="08C61DE7" w:rsidR="00B5280E" w:rsidRPr="00B5280E" w:rsidRDefault="00B5280E" w:rsidP="00B5280E">
      <w:pPr>
        <w:shd w:val="clear" w:color="auto" w:fill="FFFFFF"/>
        <w:spacing w:after="240" w:line="240" w:lineRule="auto"/>
        <w:ind w:left="720"/>
        <w:rPr>
          <w:rFonts w:ascii="Times New Roman" w:eastAsia="Times New Roman" w:hAnsi="Times New Roman"/>
          <w:bCs/>
          <w:color w:val="252525"/>
          <w:sz w:val="24"/>
          <w:szCs w:val="24"/>
          <w:lang w:val="en"/>
        </w:rPr>
      </w:pPr>
      <w:r w:rsidRPr="00B5280E">
        <w:rPr>
          <w:rFonts w:ascii="Times New Roman" w:eastAsia="Times New Roman" w:hAnsi="Times New Roman"/>
          <w:bCs/>
          <w:color w:val="252525"/>
          <w:sz w:val="24"/>
          <w:szCs w:val="24"/>
          <w:lang w:val="en"/>
        </w:rPr>
        <w:t xml:space="preserve">The attempt to </w:t>
      </w:r>
      <w:r w:rsidR="00906331">
        <w:rPr>
          <w:rFonts w:ascii="Times New Roman" w:eastAsia="Times New Roman" w:hAnsi="Times New Roman"/>
          <w:bCs/>
          <w:color w:val="252525"/>
          <w:sz w:val="24"/>
          <w:szCs w:val="24"/>
          <w:lang w:val="en"/>
        </w:rPr>
        <w:t>eradicate</w:t>
      </w:r>
      <w:r w:rsidRPr="00B5280E">
        <w:rPr>
          <w:rFonts w:ascii="Times New Roman" w:eastAsia="Times New Roman" w:hAnsi="Times New Roman"/>
          <w:bCs/>
          <w:color w:val="252525"/>
          <w:sz w:val="24"/>
          <w:szCs w:val="24"/>
          <w:lang w:val="en"/>
        </w:rPr>
        <w:t xml:space="preserve"> disputes over the level of service and attendant fee by implementing a flat fee results in equating the most basic evaluations with the most complex, with the number of pages submitted for record review </w:t>
      </w:r>
      <w:r w:rsidR="00906331">
        <w:rPr>
          <w:rFonts w:ascii="Times New Roman" w:eastAsia="Times New Roman" w:hAnsi="Times New Roman"/>
          <w:bCs/>
          <w:color w:val="252525"/>
          <w:sz w:val="24"/>
          <w:szCs w:val="24"/>
          <w:lang w:val="en"/>
        </w:rPr>
        <w:t xml:space="preserve">substituting </w:t>
      </w:r>
      <w:r w:rsidRPr="00B5280E">
        <w:rPr>
          <w:rFonts w:ascii="Times New Roman" w:eastAsia="Times New Roman" w:hAnsi="Times New Roman"/>
          <w:bCs/>
          <w:color w:val="252525"/>
          <w:sz w:val="24"/>
          <w:szCs w:val="24"/>
          <w:lang w:val="en"/>
        </w:rPr>
        <w:t xml:space="preserve">as a proxy for complexity.  Labor Code section 5307.6(a) </w:t>
      </w:r>
      <w:r w:rsidR="00906331">
        <w:rPr>
          <w:rFonts w:ascii="Times New Roman" w:eastAsia="Times New Roman" w:hAnsi="Times New Roman"/>
          <w:bCs/>
          <w:color w:val="252525"/>
          <w:sz w:val="24"/>
          <w:szCs w:val="24"/>
          <w:lang w:val="en"/>
        </w:rPr>
        <w:t>requires</w:t>
      </w:r>
      <w:r w:rsidRPr="00B5280E">
        <w:rPr>
          <w:rFonts w:ascii="Times New Roman" w:eastAsia="Times New Roman" w:hAnsi="Times New Roman"/>
          <w:bCs/>
          <w:color w:val="252525"/>
          <w:sz w:val="24"/>
          <w:szCs w:val="24"/>
          <w:lang w:val="en"/>
        </w:rPr>
        <w:t xml:space="preserve"> that the fee schedule recognize the </w:t>
      </w:r>
      <w:r w:rsidR="00906331">
        <w:rPr>
          <w:rFonts w:ascii="Times New Roman" w:eastAsia="Times New Roman" w:hAnsi="Times New Roman"/>
          <w:bCs/>
          <w:color w:val="252525"/>
          <w:sz w:val="24"/>
          <w:szCs w:val="24"/>
          <w:lang w:val="en"/>
        </w:rPr>
        <w:t>“</w:t>
      </w:r>
      <w:r w:rsidRPr="00B5280E">
        <w:rPr>
          <w:rFonts w:ascii="Times New Roman" w:eastAsia="Times New Roman" w:hAnsi="Times New Roman"/>
          <w:bCs/>
          <w:color w:val="252525"/>
          <w:sz w:val="24"/>
          <w:szCs w:val="24"/>
          <w:lang w:val="en"/>
        </w:rPr>
        <w:t>relative complexity</w:t>
      </w:r>
      <w:r w:rsidR="00906331">
        <w:rPr>
          <w:rFonts w:ascii="Times New Roman" w:eastAsia="Times New Roman" w:hAnsi="Times New Roman"/>
          <w:bCs/>
          <w:color w:val="252525"/>
          <w:sz w:val="24"/>
          <w:szCs w:val="24"/>
          <w:lang w:val="en"/>
        </w:rPr>
        <w:t xml:space="preserve">” of the </w:t>
      </w:r>
      <w:proofErr w:type="gramStart"/>
      <w:r w:rsidR="00906331">
        <w:rPr>
          <w:rFonts w:ascii="Times New Roman" w:eastAsia="Times New Roman" w:hAnsi="Times New Roman"/>
          <w:bCs/>
          <w:color w:val="252525"/>
          <w:sz w:val="24"/>
          <w:szCs w:val="24"/>
          <w:lang w:val="en"/>
        </w:rPr>
        <w:t>particular evaluation</w:t>
      </w:r>
      <w:proofErr w:type="gramEnd"/>
      <w:r w:rsidR="00233C98">
        <w:rPr>
          <w:rFonts w:ascii="Times New Roman" w:eastAsia="Times New Roman" w:hAnsi="Times New Roman"/>
          <w:bCs/>
          <w:color w:val="252525"/>
          <w:sz w:val="24"/>
          <w:szCs w:val="24"/>
          <w:lang w:val="en"/>
        </w:rPr>
        <w:t>.</w:t>
      </w:r>
      <w:r w:rsidR="00906331">
        <w:rPr>
          <w:rFonts w:ascii="Times New Roman" w:eastAsia="Times New Roman" w:hAnsi="Times New Roman"/>
          <w:bCs/>
          <w:color w:val="252525"/>
          <w:sz w:val="24"/>
          <w:szCs w:val="24"/>
          <w:lang w:val="en"/>
        </w:rPr>
        <w:t xml:space="preserve"> </w:t>
      </w:r>
      <w:r w:rsidRPr="00B5280E">
        <w:rPr>
          <w:rFonts w:ascii="Times New Roman" w:eastAsia="Times New Roman" w:hAnsi="Times New Roman"/>
          <w:bCs/>
          <w:color w:val="252525"/>
          <w:sz w:val="24"/>
          <w:szCs w:val="24"/>
          <w:lang w:val="en"/>
        </w:rPr>
        <w:t xml:space="preserve"> There is no way to ascertain the relevancy </w:t>
      </w:r>
      <w:r w:rsidR="00233C98">
        <w:rPr>
          <w:rFonts w:ascii="Times New Roman" w:eastAsia="Times New Roman" w:hAnsi="Times New Roman"/>
          <w:bCs/>
          <w:color w:val="252525"/>
          <w:sz w:val="24"/>
          <w:szCs w:val="24"/>
          <w:lang w:val="en"/>
        </w:rPr>
        <w:t xml:space="preserve">or complexity </w:t>
      </w:r>
      <w:r w:rsidRPr="00B5280E">
        <w:rPr>
          <w:rFonts w:ascii="Times New Roman" w:eastAsia="Times New Roman" w:hAnsi="Times New Roman"/>
          <w:bCs/>
          <w:color w:val="252525"/>
          <w:sz w:val="24"/>
          <w:szCs w:val="24"/>
          <w:lang w:val="en"/>
        </w:rPr>
        <w:t>of each page that is sent to the evaluating physician</w:t>
      </w:r>
      <w:r w:rsidR="00906331">
        <w:rPr>
          <w:rFonts w:ascii="Times New Roman" w:eastAsia="Times New Roman" w:hAnsi="Times New Roman"/>
          <w:bCs/>
          <w:color w:val="252525"/>
          <w:sz w:val="24"/>
          <w:szCs w:val="24"/>
          <w:lang w:val="en"/>
        </w:rPr>
        <w:t xml:space="preserve"> (</w:t>
      </w:r>
      <w:r w:rsidRPr="00B5280E">
        <w:rPr>
          <w:rFonts w:ascii="Times New Roman" w:eastAsia="Times New Roman" w:hAnsi="Times New Roman"/>
          <w:bCs/>
          <w:color w:val="252525"/>
          <w:sz w:val="24"/>
          <w:szCs w:val="24"/>
          <w:lang w:val="en"/>
        </w:rPr>
        <w:t xml:space="preserve">or more </w:t>
      </w:r>
      <w:r w:rsidR="00906331">
        <w:rPr>
          <w:rFonts w:ascii="Times New Roman" w:eastAsia="Times New Roman" w:hAnsi="Times New Roman"/>
          <w:bCs/>
          <w:color w:val="252525"/>
          <w:sz w:val="24"/>
          <w:szCs w:val="24"/>
          <w:lang w:val="en"/>
        </w:rPr>
        <w:t>accurately,</w:t>
      </w:r>
      <w:r w:rsidRPr="00B5280E">
        <w:rPr>
          <w:rFonts w:ascii="Times New Roman" w:eastAsia="Times New Roman" w:hAnsi="Times New Roman"/>
          <w:bCs/>
          <w:color w:val="252525"/>
          <w:sz w:val="24"/>
          <w:szCs w:val="24"/>
          <w:lang w:val="en"/>
        </w:rPr>
        <w:t xml:space="preserve"> the pages </w:t>
      </w:r>
      <w:proofErr w:type="gramStart"/>
      <w:r w:rsidRPr="00B5280E">
        <w:rPr>
          <w:rFonts w:ascii="Times New Roman" w:eastAsia="Times New Roman" w:hAnsi="Times New Roman"/>
          <w:bCs/>
          <w:color w:val="252525"/>
          <w:sz w:val="24"/>
          <w:szCs w:val="24"/>
          <w:lang w:val="en"/>
        </w:rPr>
        <w:t>actually reviewed</w:t>
      </w:r>
      <w:proofErr w:type="gramEnd"/>
      <w:r w:rsidRPr="00B5280E">
        <w:rPr>
          <w:rFonts w:ascii="Times New Roman" w:eastAsia="Times New Roman" w:hAnsi="Times New Roman"/>
          <w:bCs/>
          <w:color w:val="252525"/>
          <w:sz w:val="24"/>
          <w:szCs w:val="24"/>
          <w:lang w:val="en"/>
        </w:rPr>
        <w:t xml:space="preserve"> by the physician after they have been sorted, collated, and summarized by support staff</w:t>
      </w:r>
      <w:r w:rsidR="00906331">
        <w:rPr>
          <w:rFonts w:ascii="Times New Roman" w:eastAsia="Times New Roman" w:hAnsi="Times New Roman"/>
          <w:bCs/>
          <w:color w:val="252525"/>
          <w:sz w:val="24"/>
          <w:szCs w:val="24"/>
          <w:lang w:val="en"/>
        </w:rPr>
        <w:t>)</w:t>
      </w:r>
      <w:r w:rsidRPr="00B5280E">
        <w:rPr>
          <w:rFonts w:ascii="Times New Roman" w:eastAsia="Times New Roman" w:hAnsi="Times New Roman"/>
          <w:bCs/>
          <w:color w:val="252525"/>
          <w:sz w:val="24"/>
          <w:szCs w:val="24"/>
          <w:lang w:val="en"/>
        </w:rPr>
        <w:t>.  Under the proposed regulations</w:t>
      </w:r>
      <w:r w:rsidR="00906331">
        <w:rPr>
          <w:rFonts w:ascii="Times New Roman" w:eastAsia="Times New Roman" w:hAnsi="Times New Roman"/>
          <w:bCs/>
          <w:color w:val="252525"/>
          <w:sz w:val="24"/>
          <w:szCs w:val="24"/>
          <w:lang w:val="en"/>
        </w:rPr>
        <w:t>,</w:t>
      </w:r>
      <w:r w:rsidRPr="00B5280E">
        <w:rPr>
          <w:rFonts w:ascii="Times New Roman" w:eastAsia="Times New Roman" w:hAnsi="Times New Roman"/>
          <w:bCs/>
          <w:color w:val="252525"/>
          <w:sz w:val="24"/>
          <w:szCs w:val="24"/>
          <w:lang w:val="en"/>
        </w:rPr>
        <w:t xml:space="preserve"> a fax cover sheet submitted as part of subpoenaed records receive</w:t>
      </w:r>
      <w:r w:rsidR="00906331">
        <w:rPr>
          <w:rFonts w:ascii="Times New Roman" w:eastAsia="Times New Roman" w:hAnsi="Times New Roman"/>
          <w:bCs/>
          <w:color w:val="252525"/>
          <w:sz w:val="24"/>
          <w:szCs w:val="24"/>
          <w:lang w:val="en"/>
        </w:rPr>
        <w:t>s</w:t>
      </w:r>
      <w:r w:rsidRPr="00B5280E">
        <w:rPr>
          <w:rFonts w:ascii="Times New Roman" w:eastAsia="Times New Roman" w:hAnsi="Times New Roman"/>
          <w:bCs/>
          <w:color w:val="252525"/>
          <w:sz w:val="24"/>
          <w:szCs w:val="24"/>
          <w:lang w:val="en"/>
        </w:rPr>
        <w:t xml:space="preserve"> the same weight as an operative report or a hospital discharge summary.</w:t>
      </w:r>
    </w:p>
    <w:p w14:paraId="0DD311EA" w14:textId="31EFE7A7" w:rsidR="00B5280E" w:rsidRPr="00B5280E" w:rsidRDefault="00233C98" w:rsidP="00B5280E">
      <w:pPr>
        <w:pStyle w:val="ListParagraph"/>
        <w:numPr>
          <w:ilvl w:val="0"/>
          <w:numId w:val="7"/>
        </w:numPr>
        <w:shd w:val="clear" w:color="auto" w:fill="FFFFFF"/>
        <w:spacing w:after="240" w:line="240" w:lineRule="auto"/>
        <w:contextualSpacing w:val="0"/>
        <w:rPr>
          <w:rFonts w:ascii="Times New Roman" w:eastAsia="Times New Roman" w:hAnsi="Times New Roman"/>
          <w:bCs/>
          <w:color w:val="252525"/>
          <w:sz w:val="24"/>
          <w:szCs w:val="24"/>
          <w:lang w:val="en"/>
        </w:rPr>
      </w:pPr>
      <w:r>
        <w:rPr>
          <w:rFonts w:ascii="Times New Roman" w:eastAsia="Times New Roman" w:hAnsi="Times New Roman"/>
          <w:bCs/>
          <w:color w:val="252525"/>
          <w:sz w:val="24"/>
          <w:szCs w:val="24"/>
          <w:lang w:val="en"/>
        </w:rPr>
        <w:t xml:space="preserve">The proposed fee schedule fails to address even the most obvious points of friction in the new system.  </w:t>
      </w:r>
      <w:r w:rsidR="00B5280E" w:rsidRPr="00B5280E">
        <w:rPr>
          <w:rFonts w:ascii="Times New Roman" w:eastAsia="Times New Roman" w:hAnsi="Times New Roman"/>
          <w:bCs/>
          <w:color w:val="252525"/>
          <w:sz w:val="24"/>
          <w:szCs w:val="24"/>
          <w:lang w:val="en"/>
        </w:rPr>
        <w:t xml:space="preserve">What happens when the parties do not comply with the 20-day requirement under </w:t>
      </w:r>
      <w:r>
        <w:rPr>
          <w:rFonts w:ascii="Times New Roman" w:eastAsia="Times New Roman" w:hAnsi="Times New Roman"/>
          <w:bCs/>
          <w:color w:val="252525"/>
          <w:sz w:val="24"/>
          <w:szCs w:val="24"/>
          <w:lang w:val="en"/>
        </w:rPr>
        <w:t xml:space="preserve">Labor Code section </w:t>
      </w:r>
      <w:r w:rsidR="00B5280E" w:rsidRPr="00B5280E">
        <w:rPr>
          <w:rFonts w:ascii="Times New Roman" w:eastAsia="Times New Roman" w:hAnsi="Times New Roman"/>
          <w:bCs/>
          <w:color w:val="252525"/>
          <w:sz w:val="24"/>
          <w:szCs w:val="24"/>
          <w:lang w:val="en"/>
        </w:rPr>
        <w:t xml:space="preserve">4062.3?  </w:t>
      </w:r>
      <w:r w:rsidR="00CA2AA4">
        <w:rPr>
          <w:rFonts w:ascii="Times New Roman" w:eastAsia="Times New Roman" w:hAnsi="Times New Roman"/>
          <w:bCs/>
          <w:color w:val="252525"/>
          <w:sz w:val="24"/>
          <w:szCs w:val="24"/>
          <w:lang w:val="en"/>
        </w:rPr>
        <w:t xml:space="preserve">Under </w:t>
      </w:r>
      <w:r w:rsidR="00CA2AA4" w:rsidRPr="00CA2AA4">
        <w:rPr>
          <w:rFonts w:ascii="Times New Roman" w:eastAsia="Times New Roman" w:hAnsi="Times New Roman"/>
          <w:bCs/>
          <w:color w:val="252525"/>
          <w:sz w:val="24"/>
          <w:szCs w:val="24"/>
          <w:lang w:val="en"/>
        </w:rPr>
        <w:t xml:space="preserve">most circumstances, </w:t>
      </w:r>
      <w:r w:rsidR="00CA2AA4">
        <w:rPr>
          <w:rFonts w:ascii="Times New Roman" w:eastAsia="Times New Roman" w:hAnsi="Times New Roman"/>
          <w:bCs/>
          <w:color w:val="252525"/>
          <w:sz w:val="24"/>
          <w:szCs w:val="24"/>
          <w:lang w:val="en"/>
        </w:rPr>
        <w:t xml:space="preserve">and pursuant </w:t>
      </w:r>
      <w:r w:rsidR="00CA2AA4" w:rsidRPr="00C407AA">
        <w:rPr>
          <w:rFonts w:ascii="Times New Roman" w:eastAsia="Times New Roman" w:hAnsi="Times New Roman"/>
          <w:bCs/>
          <w:color w:val="252525"/>
          <w:sz w:val="24"/>
          <w:szCs w:val="24"/>
          <w:lang w:val="en"/>
        </w:rPr>
        <w:t xml:space="preserve">to </w:t>
      </w:r>
      <w:r w:rsidR="00303FEA">
        <w:rPr>
          <w:rFonts w:ascii="Times New Roman" w:eastAsia="Times New Roman" w:hAnsi="Times New Roman"/>
          <w:bCs/>
          <w:color w:val="252525"/>
          <w:sz w:val="24"/>
          <w:szCs w:val="24"/>
          <w:lang w:val="en"/>
        </w:rPr>
        <w:t xml:space="preserve">Labor Code </w:t>
      </w:r>
      <w:r w:rsidR="00CA2AA4" w:rsidRPr="00C407AA">
        <w:rPr>
          <w:rFonts w:ascii="Times New Roman" w:eastAsia="Times New Roman" w:hAnsi="Times New Roman"/>
          <w:bCs/>
          <w:color w:val="252525"/>
          <w:sz w:val="24"/>
          <w:szCs w:val="24"/>
          <w:lang w:val="en"/>
        </w:rPr>
        <w:t>section 4062.3 and 8 CCR 35</w:t>
      </w:r>
      <w:r w:rsidR="00CA2AA4">
        <w:rPr>
          <w:rFonts w:ascii="Times New Roman" w:eastAsia="Times New Roman" w:hAnsi="Times New Roman"/>
          <w:bCs/>
          <w:color w:val="252525"/>
          <w:sz w:val="24"/>
          <w:szCs w:val="24"/>
          <w:lang w:val="en"/>
        </w:rPr>
        <w:t xml:space="preserve">, </w:t>
      </w:r>
      <w:r w:rsidR="00FD261D" w:rsidRPr="00CA2AA4">
        <w:rPr>
          <w:rFonts w:ascii="Times New Roman" w:eastAsia="Times New Roman" w:hAnsi="Times New Roman"/>
          <w:bCs/>
          <w:color w:val="252525"/>
          <w:sz w:val="24"/>
          <w:szCs w:val="24"/>
          <w:lang w:val="en"/>
        </w:rPr>
        <w:t>objections may not be made to</w:t>
      </w:r>
      <w:r w:rsidR="00A860AA" w:rsidRPr="00CA2AA4">
        <w:rPr>
          <w:rFonts w:ascii="Times New Roman" w:eastAsia="Times New Roman" w:hAnsi="Times New Roman"/>
          <w:bCs/>
          <w:color w:val="252525"/>
          <w:sz w:val="24"/>
          <w:szCs w:val="24"/>
          <w:lang w:val="en"/>
        </w:rPr>
        <w:t xml:space="preserve"> the submission of</w:t>
      </w:r>
      <w:r w:rsidR="00CA2AA4" w:rsidRPr="00CA2AA4">
        <w:rPr>
          <w:rFonts w:ascii="Times New Roman" w:eastAsia="Times New Roman" w:hAnsi="Times New Roman"/>
          <w:bCs/>
          <w:color w:val="252525"/>
          <w:sz w:val="24"/>
          <w:szCs w:val="24"/>
          <w:lang w:val="en"/>
        </w:rPr>
        <w:t xml:space="preserve"> </w:t>
      </w:r>
      <w:r w:rsidR="00FD261D" w:rsidRPr="00CA2AA4">
        <w:rPr>
          <w:rFonts w:ascii="Times New Roman" w:eastAsia="Times New Roman" w:hAnsi="Times New Roman"/>
          <w:bCs/>
          <w:color w:val="252525"/>
          <w:sz w:val="24"/>
          <w:szCs w:val="24"/>
          <w:lang w:val="en"/>
        </w:rPr>
        <w:t>medical records</w:t>
      </w:r>
      <w:r w:rsidR="00CA2AA4">
        <w:rPr>
          <w:rFonts w:ascii="Times New Roman" w:eastAsia="Times New Roman" w:hAnsi="Times New Roman"/>
          <w:bCs/>
          <w:color w:val="252525"/>
          <w:sz w:val="24"/>
          <w:szCs w:val="24"/>
          <w:lang w:val="en"/>
        </w:rPr>
        <w:t>; this</w:t>
      </w:r>
      <w:r w:rsidR="00FD261D" w:rsidRPr="00CA2AA4">
        <w:rPr>
          <w:rFonts w:ascii="Times New Roman" w:eastAsia="Times New Roman" w:hAnsi="Times New Roman"/>
          <w:bCs/>
          <w:color w:val="252525"/>
          <w:sz w:val="24"/>
          <w:szCs w:val="24"/>
          <w:lang w:val="en"/>
        </w:rPr>
        <w:t xml:space="preserve"> </w:t>
      </w:r>
      <w:r w:rsidR="00F77A8A" w:rsidRPr="00CA2AA4">
        <w:rPr>
          <w:rFonts w:ascii="Times New Roman" w:eastAsia="Times New Roman" w:hAnsi="Times New Roman"/>
          <w:bCs/>
          <w:color w:val="252525"/>
          <w:sz w:val="24"/>
          <w:szCs w:val="24"/>
          <w:lang w:val="en"/>
        </w:rPr>
        <w:t xml:space="preserve">may </w:t>
      </w:r>
      <w:r w:rsidR="00FD261D" w:rsidRPr="00CA2AA4">
        <w:rPr>
          <w:rFonts w:ascii="Times New Roman" w:eastAsia="Times New Roman" w:hAnsi="Times New Roman"/>
          <w:bCs/>
          <w:color w:val="252525"/>
          <w:sz w:val="24"/>
          <w:szCs w:val="24"/>
          <w:lang w:val="en"/>
        </w:rPr>
        <w:t>result in the submission of duplicate medical</w:t>
      </w:r>
      <w:r w:rsidR="00FD261D">
        <w:rPr>
          <w:rFonts w:ascii="Times New Roman" w:eastAsia="Times New Roman" w:hAnsi="Times New Roman"/>
          <w:bCs/>
          <w:color w:val="252525"/>
          <w:sz w:val="24"/>
          <w:szCs w:val="24"/>
          <w:lang w:val="en"/>
        </w:rPr>
        <w:t xml:space="preserve"> records and a</w:t>
      </w:r>
      <w:r w:rsidR="00CA2AA4">
        <w:rPr>
          <w:rFonts w:ascii="Times New Roman" w:eastAsia="Times New Roman" w:hAnsi="Times New Roman"/>
          <w:bCs/>
          <w:color w:val="252525"/>
          <w:sz w:val="24"/>
          <w:szCs w:val="24"/>
          <w:lang w:val="en"/>
        </w:rPr>
        <w:t xml:space="preserve"> </w:t>
      </w:r>
      <w:r w:rsidR="00FD261D">
        <w:rPr>
          <w:rFonts w:ascii="Times New Roman" w:eastAsia="Times New Roman" w:hAnsi="Times New Roman"/>
          <w:bCs/>
          <w:color w:val="252525"/>
          <w:sz w:val="24"/>
          <w:szCs w:val="24"/>
          <w:lang w:val="en"/>
        </w:rPr>
        <w:t xml:space="preserve">$3.00 per page request for reimbursement.  </w:t>
      </w:r>
      <w:r w:rsidR="00B5280E" w:rsidRPr="00B5280E">
        <w:rPr>
          <w:rFonts w:ascii="Times New Roman" w:eastAsia="Times New Roman" w:hAnsi="Times New Roman"/>
          <w:bCs/>
          <w:color w:val="252525"/>
          <w:sz w:val="24"/>
          <w:szCs w:val="24"/>
          <w:lang w:val="en"/>
        </w:rPr>
        <w:t xml:space="preserve">Disputes </w:t>
      </w:r>
      <w:r w:rsidR="001152E7">
        <w:rPr>
          <w:rFonts w:ascii="Times New Roman" w:eastAsia="Times New Roman" w:hAnsi="Times New Roman"/>
          <w:bCs/>
          <w:color w:val="252525"/>
          <w:sz w:val="24"/>
          <w:szCs w:val="24"/>
          <w:lang w:val="en"/>
        </w:rPr>
        <w:t>will</w:t>
      </w:r>
      <w:r w:rsidR="00B5280E" w:rsidRPr="00B5280E">
        <w:rPr>
          <w:rFonts w:ascii="Times New Roman" w:eastAsia="Times New Roman" w:hAnsi="Times New Roman"/>
          <w:bCs/>
          <w:color w:val="252525"/>
          <w:sz w:val="24"/>
          <w:szCs w:val="24"/>
          <w:lang w:val="en"/>
        </w:rPr>
        <w:t xml:space="preserve"> arise regarding the number of pages attested to and the number of pages received.  </w:t>
      </w:r>
      <w:r w:rsidR="00D43CE3">
        <w:rPr>
          <w:rFonts w:ascii="Times New Roman" w:eastAsia="Times New Roman" w:hAnsi="Times New Roman"/>
          <w:bCs/>
          <w:color w:val="252525"/>
          <w:sz w:val="24"/>
          <w:szCs w:val="24"/>
          <w:lang w:val="en"/>
        </w:rPr>
        <w:t xml:space="preserve">A dispute about whether submission </w:t>
      </w:r>
      <w:r w:rsidR="00D43CE3">
        <w:rPr>
          <w:rFonts w:ascii="Times New Roman" w:eastAsia="Times New Roman" w:hAnsi="Times New Roman"/>
          <w:bCs/>
          <w:color w:val="252525"/>
          <w:sz w:val="24"/>
          <w:szCs w:val="24"/>
          <w:lang w:val="en"/>
        </w:rPr>
        <w:lastRenderedPageBreak/>
        <w:t xml:space="preserve">of records is in violation of section 4062.3 is, under </w:t>
      </w:r>
      <w:r w:rsidR="00691F0D">
        <w:rPr>
          <w:rFonts w:ascii="Times New Roman" w:eastAsia="Times New Roman" w:hAnsi="Times New Roman"/>
          <w:bCs/>
          <w:color w:val="252525"/>
          <w:sz w:val="24"/>
          <w:szCs w:val="24"/>
          <w:lang w:val="en"/>
        </w:rPr>
        <w:t xml:space="preserve">the </w:t>
      </w:r>
      <w:proofErr w:type="spellStart"/>
      <w:r w:rsidR="00691F0D">
        <w:rPr>
          <w:rFonts w:ascii="Times New Roman" w:eastAsia="Times New Roman" w:hAnsi="Times New Roman"/>
          <w:bCs/>
          <w:color w:val="252525"/>
          <w:sz w:val="24"/>
          <w:szCs w:val="24"/>
          <w:lang w:val="en"/>
        </w:rPr>
        <w:t>en</w:t>
      </w:r>
      <w:proofErr w:type="spellEnd"/>
      <w:r w:rsidR="00691F0D">
        <w:rPr>
          <w:rFonts w:ascii="Times New Roman" w:eastAsia="Times New Roman" w:hAnsi="Times New Roman"/>
          <w:bCs/>
          <w:color w:val="252525"/>
          <w:sz w:val="24"/>
          <w:szCs w:val="24"/>
          <w:lang w:val="en"/>
        </w:rPr>
        <w:t xml:space="preserve"> banc decision in </w:t>
      </w:r>
      <w:proofErr w:type="spellStart"/>
      <w:r w:rsidR="00691F0D" w:rsidRPr="00691F0D">
        <w:rPr>
          <w:rFonts w:ascii="Times New Roman" w:eastAsia="Times New Roman" w:hAnsi="Times New Roman"/>
          <w:bCs/>
          <w:i/>
          <w:iCs/>
          <w:color w:val="252525"/>
          <w:sz w:val="24"/>
          <w:szCs w:val="24"/>
          <w:lang w:val="en"/>
        </w:rPr>
        <w:t>Suon</w:t>
      </w:r>
      <w:proofErr w:type="spellEnd"/>
      <w:r w:rsidR="00D43CE3">
        <w:rPr>
          <w:rFonts w:ascii="Times New Roman" w:eastAsia="Times New Roman" w:hAnsi="Times New Roman"/>
          <w:bCs/>
          <w:color w:val="252525"/>
          <w:sz w:val="24"/>
          <w:szCs w:val="24"/>
          <w:lang w:val="en"/>
        </w:rPr>
        <w:t xml:space="preserve">, within the purview of the WCJ to fashion a remedy.  But the disputed payment issue remains in the </w:t>
      </w:r>
      <w:r w:rsidR="00303FEA">
        <w:rPr>
          <w:rFonts w:ascii="Times New Roman" w:eastAsia="Times New Roman" w:hAnsi="Times New Roman"/>
          <w:bCs/>
          <w:color w:val="252525"/>
          <w:sz w:val="24"/>
          <w:szCs w:val="24"/>
          <w:lang w:val="en"/>
        </w:rPr>
        <w:t>Independent Bill Review</w:t>
      </w:r>
      <w:r w:rsidR="00D43CE3">
        <w:rPr>
          <w:rFonts w:ascii="Times New Roman" w:eastAsia="Times New Roman" w:hAnsi="Times New Roman"/>
          <w:bCs/>
          <w:color w:val="252525"/>
          <w:sz w:val="24"/>
          <w:szCs w:val="24"/>
          <w:lang w:val="en"/>
        </w:rPr>
        <w:t xml:space="preserve"> process, with its strict timeframes.  This two-track resolution will lead to inconsistent outcomes, when the payer has been required to provide payment under IBR but the WCJ later agrees with the payer’s position.</w:t>
      </w:r>
    </w:p>
    <w:p w14:paraId="02BBDA96" w14:textId="5B646D8B" w:rsidR="001152E7" w:rsidRDefault="001152E7" w:rsidP="00B5280E">
      <w:pPr>
        <w:pStyle w:val="ListParagraph"/>
        <w:numPr>
          <w:ilvl w:val="0"/>
          <w:numId w:val="7"/>
        </w:numPr>
        <w:shd w:val="clear" w:color="auto" w:fill="FFFFFF"/>
        <w:spacing w:after="240" w:line="240" w:lineRule="auto"/>
        <w:contextualSpacing w:val="0"/>
        <w:rPr>
          <w:rFonts w:ascii="Times New Roman" w:eastAsia="Times New Roman" w:hAnsi="Times New Roman"/>
          <w:bCs/>
          <w:color w:val="252525"/>
          <w:sz w:val="24"/>
          <w:szCs w:val="24"/>
          <w:lang w:val="en"/>
        </w:rPr>
      </w:pPr>
      <w:r>
        <w:rPr>
          <w:rFonts w:ascii="Times New Roman" w:eastAsia="Times New Roman" w:hAnsi="Times New Roman"/>
          <w:bCs/>
          <w:color w:val="252525"/>
          <w:sz w:val="24"/>
          <w:szCs w:val="24"/>
          <w:lang w:val="en"/>
        </w:rPr>
        <w:t>According to the ISOR, the goal of mitigating t</w:t>
      </w:r>
      <w:r w:rsidR="00B5280E" w:rsidRPr="00B5280E">
        <w:rPr>
          <w:rFonts w:ascii="Times New Roman" w:eastAsia="Times New Roman" w:hAnsi="Times New Roman"/>
          <w:bCs/>
          <w:color w:val="252525"/>
          <w:sz w:val="24"/>
          <w:szCs w:val="24"/>
          <w:lang w:val="en"/>
        </w:rPr>
        <w:t xml:space="preserve">he frictional costs associated with determining the level of service for most medical-legal evaluations will be </w:t>
      </w:r>
      <w:r>
        <w:rPr>
          <w:rFonts w:ascii="Times New Roman" w:eastAsia="Times New Roman" w:hAnsi="Times New Roman"/>
          <w:bCs/>
          <w:color w:val="252525"/>
          <w:sz w:val="24"/>
          <w:szCs w:val="24"/>
          <w:lang w:val="en"/>
        </w:rPr>
        <w:t xml:space="preserve">achieved </w:t>
      </w:r>
      <w:r w:rsidR="00B5280E" w:rsidRPr="00B5280E">
        <w:rPr>
          <w:rFonts w:ascii="Times New Roman" w:eastAsia="Times New Roman" w:hAnsi="Times New Roman"/>
          <w:bCs/>
          <w:color w:val="252525"/>
          <w:sz w:val="24"/>
          <w:szCs w:val="24"/>
          <w:lang w:val="en"/>
        </w:rPr>
        <w:t xml:space="preserve">under the flat fee structure.  </w:t>
      </w:r>
      <w:r w:rsidR="00226B7E">
        <w:rPr>
          <w:rFonts w:ascii="Times New Roman" w:eastAsia="Times New Roman" w:hAnsi="Times New Roman"/>
          <w:bCs/>
          <w:color w:val="252525"/>
          <w:sz w:val="24"/>
          <w:szCs w:val="24"/>
          <w:lang w:val="en"/>
        </w:rPr>
        <w:t>As detailed above, f</w:t>
      </w:r>
      <w:r w:rsidR="00B5280E" w:rsidRPr="00B5280E">
        <w:rPr>
          <w:rFonts w:ascii="Times New Roman" w:eastAsia="Times New Roman" w:hAnsi="Times New Roman"/>
          <w:bCs/>
          <w:color w:val="252525"/>
          <w:sz w:val="24"/>
          <w:szCs w:val="24"/>
          <w:lang w:val="en"/>
        </w:rPr>
        <w:t>rictional costs associated with disagreements over complexity factors will likely be replaced by disputes over page counts and relevancy of content.  Disputes concerning criteria for determining “extraordinary circumstances”</w:t>
      </w:r>
      <w:r>
        <w:rPr>
          <w:rFonts w:ascii="Times New Roman" w:eastAsia="Times New Roman" w:hAnsi="Times New Roman"/>
          <w:bCs/>
          <w:color w:val="252525"/>
          <w:sz w:val="24"/>
          <w:szCs w:val="24"/>
          <w:lang w:val="en"/>
        </w:rPr>
        <w:t xml:space="preserve"> under Labor Code section 5307.6(b)</w:t>
      </w:r>
      <w:r w:rsidR="00B5280E" w:rsidRPr="00B5280E">
        <w:rPr>
          <w:rFonts w:ascii="Times New Roman" w:eastAsia="Times New Roman" w:hAnsi="Times New Roman"/>
          <w:bCs/>
          <w:color w:val="252525"/>
          <w:sz w:val="24"/>
          <w:szCs w:val="24"/>
          <w:lang w:val="en"/>
        </w:rPr>
        <w:t xml:space="preserve"> will continue</w:t>
      </w:r>
      <w:r>
        <w:rPr>
          <w:rFonts w:ascii="Times New Roman" w:eastAsia="Times New Roman" w:hAnsi="Times New Roman"/>
          <w:bCs/>
          <w:color w:val="252525"/>
          <w:sz w:val="24"/>
          <w:szCs w:val="24"/>
          <w:lang w:val="en"/>
        </w:rPr>
        <w:t xml:space="preserve">; </w:t>
      </w:r>
      <w:r w:rsidR="00E27B60">
        <w:rPr>
          <w:rFonts w:ascii="Times New Roman" w:eastAsia="Times New Roman" w:hAnsi="Times New Roman"/>
          <w:bCs/>
          <w:color w:val="252525"/>
          <w:sz w:val="24"/>
          <w:szCs w:val="24"/>
          <w:lang w:val="en"/>
        </w:rPr>
        <w:t xml:space="preserve">in the stakeholder meetings, the provider community expressed an intent to utilize this section </w:t>
      </w:r>
      <w:proofErr w:type="gramStart"/>
      <w:r w:rsidR="00E27B60">
        <w:rPr>
          <w:rFonts w:ascii="Times New Roman" w:eastAsia="Times New Roman" w:hAnsi="Times New Roman"/>
          <w:bCs/>
          <w:color w:val="252525"/>
          <w:sz w:val="24"/>
          <w:szCs w:val="24"/>
          <w:lang w:val="en"/>
        </w:rPr>
        <w:t xml:space="preserve">as </w:t>
      </w:r>
      <w:r w:rsidR="00226B7E">
        <w:rPr>
          <w:rFonts w:ascii="Times New Roman" w:eastAsia="Times New Roman" w:hAnsi="Times New Roman"/>
          <w:bCs/>
          <w:color w:val="252525"/>
          <w:sz w:val="24"/>
          <w:szCs w:val="24"/>
          <w:lang w:val="en"/>
        </w:rPr>
        <w:t>a way to</w:t>
      </w:r>
      <w:proofErr w:type="gramEnd"/>
      <w:r w:rsidR="00226B7E">
        <w:rPr>
          <w:rFonts w:ascii="Times New Roman" w:eastAsia="Times New Roman" w:hAnsi="Times New Roman"/>
          <w:bCs/>
          <w:color w:val="252525"/>
          <w:sz w:val="24"/>
          <w:szCs w:val="24"/>
          <w:lang w:val="en"/>
        </w:rPr>
        <w:t xml:space="preserve"> capture increased reimbursement, and because the proposed fee schedule does not address the subject at all, the disputes will certainly increase.</w:t>
      </w:r>
      <w:r w:rsidR="00B5280E" w:rsidRPr="00B5280E">
        <w:rPr>
          <w:rFonts w:ascii="Times New Roman" w:eastAsia="Times New Roman" w:hAnsi="Times New Roman"/>
          <w:bCs/>
          <w:color w:val="252525"/>
          <w:sz w:val="24"/>
          <w:szCs w:val="24"/>
          <w:lang w:val="en"/>
        </w:rPr>
        <w:t xml:space="preserve"> </w:t>
      </w:r>
    </w:p>
    <w:p w14:paraId="34713DC1" w14:textId="7C0CDB7F" w:rsidR="00226B7E" w:rsidRPr="00226B7E" w:rsidRDefault="00226B7E" w:rsidP="00067A91">
      <w:pPr>
        <w:pStyle w:val="ListParagraph"/>
        <w:numPr>
          <w:ilvl w:val="0"/>
          <w:numId w:val="7"/>
        </w:numPr>
        <w:shd w:val="clear" w:color="auto" w:fill="FFFFFF"/>
        <w:spacing w:line="240" w:lineRule="auto"/>
        <w:rPr>
          <w:rFonts w:ascii="Times New Roman" w:eastAsia="Times New Roman" w:hAnsi="Times New Roman"/>
          <w:bCs/>
          <w:i/>
          <w:iCs/>
          <w:color w:val="252525"/>
          <w:sz w:val="24"/>
          <w:szCs w:val="24"/>
          <w:lang w:val="en"/>
        </w:rPr>
      </w:pPr>
      <w:r>
        <w:rPr>
          <w:rFonts w:ascii="Times New Roman" w:eastAsia="Times New Roman" w:hAnsi="Times New Roman"/>
          <w:bCs/>
          <w:color w:val="252525"/>
          <w:sz w:val="24"/>
          <w:szCs w:val="24"/>
          <w:lang w:val="en"/>
        </w:rPr>
        <w:t xml:space="preserve">The proposed regulations preclude review (and reimbursement) of records submitted without an attestation.  </w:t>
      </w:r>
      <w:r w:rsidR="002A24FD">
        <w:rPr>
          <w:rFonts w:ascii="Times New Roman" w:eastAsia="Times New Roman" w:hAnsi="Times New Roman"/>
          <w:bCs/>
          <w:color w:val="252525"/>
          <w:sz w:val="24"/>
          <w:szCs w:val="24"/>
          <w:lang w:val="en"/>
        </w:rPr>
        <w:t xml:space="preserve">If a full and proper attestation is somehow separated from the submitted records, the provider will not review the records.  Instead, </w:t>
      </w:r>
      <w:proofErr w:type="gramStart"/>
      <w:r w:rsidR="00E27B60">
        <w:rPr>
          <w:rFonts w:ascii="Times New Roman" w:eastAsia="Times New Roman" w:hAnsi="Times New Roman"/>
          <w:bCs/>
          <w:color w:val="252525"/>
          <w:sz w:val="24"/>
          <w:szCs w:val="24"/>
          <w:lang w:val="en"/>
        </w:rPr>
        <w:t>in order to</w:t>
      </w:r>
      <w:proofErr w:type="gramEnd"/>
      <w:r w:rsidR="00E27B60">
        <w:rPr>
          <w:rFonts w:ascii="Times New Roman" w:eastAsia="Times New Roman" w:hAnsi="Times New Roman"/>
          <w:bCs/>
          <w:color w:val="252525"/>
          <w:sz w:val="24"/>
          <w:szCs w:val="24"/>
          <w:lang w:val="en"/>
        </w:rPr>
        <w:t xml:space="preserve"> obtain reimbursement, </w:t>
      </w:r>
      <w:r w:rsidR="002A24FD">
        <w:rPr>
          <w:rFonts w:ascii="Times New Roman" w:eastAsia="Times New Roman" w:hAnsi="Times New Roman"/>
          <w:bCs/>
          <w:color w:val="252525"/>
          <w:sz w:val="24"/>
          <w:szCs w:val="24"/>
          <w:lang w:val="en"/>
        </w:rPr>
        <w:t xml:space="preserve">the provider will wait – and </w:t>
      </w:r>
      <w:r w:rsidR="00CA2AA4">
        <w:rPr>
          <w:rFonts w:ascii="Times New Roman" w:eastAsia="Times New Roman" w:hAnsi="Times New Roman"/>
          <w:bCs/>
          <w:color w:val="252525"/>
          <w:sz w:val="24"/>
          <w:szCs w:val="24"/>
          <w:lang w:val="en"/>
        </w:rPr>
        <w:t xml:space="preserve">then </w:t>
      </w:r>
      <w:r w:rsidR="002A24FD">
        <w:rPr>
          <w:rFonts w:ascii="Times New Roman" w:eastAsia="Times New Roman" w:hAnsi="Times New Roman"/>
          <w:bCs/>
          <w:color w:val="252525"/>
          <w:sz w:val="24"/>
          <w:szCs w:val="24"/>
          <w:lang w:val="en"/>
        </w:rPr>
        <w:t xml:space="preserve">submit a supplemental report when the attestation is located.  Because the page count of “included” records in a Supplemental Report (ML 203) is far below that in Comprehensive Evaluation (ML 201), this scenario lends itself to abusive practices because providers will realize reimbursement at a much lower threshold.  </w:t>
      </w:r>
    </w:p>
    <w:p w14:paraId="775AD732" w14:textId="77777777" w:rsidR="00226B7E" w:rsidRPr="00226B7E" w:rsidRDefault="00226B7E" w:rsidP="00226B7E">
      <w:pPr>
        <w:pStyle w:val="ListParagraph"/>
        <w:rPr>
          <w:rFonts w:ascii="Times New Roman" w:eastAsia="Times New Roman" w:hAnsi="Times New Roman"/>
          <w:bCs/>
          <w:color w:val="252525"/>
          <w:sz w:val="24"/>
          <w:szCs w:val="24"/>
          <w:lang w:val="en"/>
        </w:rPr>
      </w:pPr>
    </w:p>
    <w:p w14:paraId="4075957F" w14:textId="03863521" w:rsidR="00757509" w:rsidRDefault="007A12C7" w:rsidP="00757509">
      <w:pPr>
        <w:pStyle w:val="ListParagraph"/>
        <w:numPr>
          <w:ilvl w:val="0"/>
          <w:numId w:val="7"/>
        </w:numPr>
        <w:shd w:val="clear" w:color="auto" w:fill="FFFFFF"/>
        <w:spacing w:line="240" w:lineRule="auto"/>
        <w:rPr>
          <w:rFonts w:ascii="Times New Roman" w:eastAsia="Times New Roman" w:hAnsi="Times New Roman"/>
          <w:bCs/>
          <w:color w:val="252525"/>
          <w:sz w:val="24"/>
          <w:szCs w:val="24"/>
          <w:lang w:val="en"/>
        </w:rPr>
      </w:pPr>
      <w:r>
        <w:rPr>
          <w:rFonts w:ascii="Times New Roman" w:eastAsia="Times New Roman" w:hAnsi="Times New Roman"/>
          <w:bCs/>
          <w:color w:val="252525"/>
          <w:sz w:val="24"/>
          <w:szCs w:val="24"/>
          <w:lang w:val="en"/>
        </w:rPr>
        <w:t>According to the</w:t>
      </w:r>
      <w:r w:rsidR="00067A91" w:rsidRPr="00E76762">
        <w:rPr>
          <w:rFonts w:ascii="Times New Roman" w:eastAsia="Times New Roman" w:hAnsi="Times New Roman"/>
          <w:bCs/>
          <w:color w:val="252525"/>
          <w:sz w:val="24"/>
          <w:szCs w:val="24"/>
          <w:lang w:val="en"/>
        </w:rPr>
        <w:t xml:space="preserve"> ISOR, the “increase in amounts payable to providers is expected to increase report quality</w:t>
      </w:r>
      <w:r>
        <w:rPr>
          <w:rFonts w:ascii="Times New Roman" w:eastAsia="Times New Roman" w:hAnsi="Times New Roman"/>
          <w:bCs/>
          <w:color w:val="252525"/>
          <w:sz w:val="24"/>
          <w:szCs w:val="24"/>
          <w:lang w:val="en"/>
        </w:rPr>
        <w:t>.</w:t>
      </w:r>
      <w:r w:rsidR="00067A91" w:rsidRPr="00E76762">
        <w:rPr>
          <w:rFonts w:ascii="Times New Roman" w:eastAsia="Times New Roman" w:hAnsi="Times New Roman"/>
          <w:bCs/>
          <w:color w:val="252525"/>
          <w:sz w:val="24"/>
          <w:szCs w:val="24"/>
          <w:lang w:val="en"/>
        </w:rPr>
        <w:t xml:space="preserve">”  Although aspirational, it </w:t>
      </w:r>
      <w:r w:rsidR="00757509">
        <w:rPr>
          <w:rFonts w:ascii="Times New Roman" w:eastAsia="Times New Roman" w:hAnsi="Times New Roman"/>
          <w:bCs/>
          <w:color w:val="252525"/>
          <w:sz w:val="24"/>
          <w:szCs w:val="24"/>
          <w:lang w:val="en"/>
        </w:rPr>
        <w:t>is</w:t>
      </w:r>
      <w:r w:rsidR="00067A91" w:rsidRPr="00E76762">
        <w:rPr>
          <w:rFonts w:ascii="Times New Roman" w:eastAsia="Times New Roman" w:hAnsi="Times New Roman"/>
          <w:bCs/>
          <w:color w:val="252525"/>
          <w:sz w:val="24"/>
          <w:szCs w:val="24"/>
          <w:lang w:val="en"/>
        </w:rPr>
        <w:t xml:space="preserve"> ill</w:t>
      </w:r>
      <w:r w:rsidR="00757509">
        <w:rPr>
          <w:rFonts w:ascii="Times New Roman" w:eastAsia="Times New Roman" w:hAnsi="Times New Roman"/>
          <w:bCs/>
          <w:color w:val="252525"/>
          <w:sz w:val="24"/>
          <w:szCs w:val="24"/>
          <w:lang w:val="en"/>
        </w:rPr>
        <w:t>-</w:t>
      </w:r>
      <w:r w:rsidR="00067A91" w:rsidRPr="00E76762">
        <w:rPr>
          <w:rFonts w:ascii="Times New Roman" w:eastAsia="Times New Roman" w:hAnsi="Times New Roman"/>
          <w:bCs/>
          <w:color w:val="252525"/>
          <w:sz w:val="24"/>
          <w:szCs w:val="24"/>
          <w:lang w:val="en"/>
        </w:rPr>
        <w:t xml:space="preserve">advised to assume that increasing a provider’s fee in any way guarantees a concomitant improvement in the quality of the medical report for which payment is sought. </w:t>
      </w:r>
      <w:r w:rsidR="00757509">
        <w:rPr>
          <w:rFonts w:ascii="Times New Roman" w:eastAsia="Times New Roman" w:hAnsi="Times New Roman"/>
          <w:bCs/>
          <w:color w:val="252525"/>
          <w:sz w:val="24"/>
          <w:szCs w:val="24"/>
          <w:lang w:val="en"/>
        </w:rPr>
        <w:t xml:space="preserve"> </w:t>
      </w:r>
      <w:r w:rsidR="00067A91" w:rsidRPr="00E76762">
        <w:rPr>
          <w:rFonts w:ascii="Times New Roman" w:eastAsia="Times New Roman" w:hAnsi="Times New Roman"/>
          <w:bCs/>
          <w:color w:val="252525"/>
          <w:sz w:val="24"/>
          <w:szCs w:val="24"/>
          <w:lang w:val="en"/>
        </w:rPr>
        <w:t>Instead, the quality of a medical report depends entirely on the provider’s ability to submit a substantial evidence report which meets the threshold evidentiary requirement</w:t>
      </w:r>
      <w:r w:rsidR="00757509">
        <w:rPr>
          <w:rFonts w:ascii="Times New Roman" w:eastAsia="Times New Roman" w:hAnsi="Times New Roman"/>
          <w:bCs/>
          <w:color w:val="252525"/>
          <w:sz w:val="24"/>
          <w:szCs w:val="24"/>
          <w:lang w:val="en"/>
        </w:rPr>
        <w:t xml:space="preserve"> (</w:t>
      </w:r>
      <w:r w:rsidR="00757509" w:rsidRPr="00757509">
        <w:rPr>
          <w:rFonts w:ascii="Times New Roman" w:eastAsia="Times New Roman" w:hAnsi="Times New Roman"/>
          <w:bCs/>
          <w:i/>
          <w:iCs/>
          <w:color w:val="252525"/>
          <w:sz w:val="24"/>
          <w:szCs w:val="24"/>
          <w:lang w:val="en"/>
        </w:rPr>
        <w:t>e.g.,</w:t>
      </w:r>
      <w:r w:rsidR="00757509">
        <w:rPr>
          <w:rFonts w:ascii="Times New Roman" w:eastAsia="Times New Roman" w:hAnsi="Times New Roman"/>
          <w:bCs/>
          <w:color w:val="252525"/>
          <w:sz w:val="24"/>
          <w:szCs w:val="24"/>
          <w:lang w:val="en"/>
        </w:rPr>
        <w:t xml:space="preserve"> not based on</w:t>
      </w:r>
      <w:r w:rsidR="00067A91" w:rsidRPr="00E76762">
        <w:rPr>
          <w:rFonts w:ascii="Times New Roman" w:hAnsi="Times New Roman"/>
          <w:color w:val="000000"/>
          <w:sz w:val="24"/>
          <w:szCs w:val="24"/>
          <w:shd w:val="clear" w:color="auto" w:fill="FFFFFF"/>
        </w:rPr>
        <w:t xml:space="preserve"> facts no longer germane, on inadequate medical histories and examinations, on incorrect legal theories</w:t>
      </w:r>
      <w:r w:rsidR="00067A91" w:rsidRPr="00E76762">
        <w:rPr>
          <w:rFonts w:ascii="Times New Roman" w:hAnsi="Times New Roman"/>
          <w:sz w:val="24"/>
          <w:szCs w:val="24"/>
          <w:shd w:val="clear" w:color="auto" w:fill="FFFFFF"/>
        </w:rPr>
        <w:t xml:space="preserve">, or </w:t>
      </w:r>
      <w:r w:rsidR="00067A91" w:rsidRPr="00E76762">
        <w:rPr>
          <w:rFonts w:ascii="Times New Roman" w:hAnsi="Times New Roman"/>
          <w:color w:val="000000"/>
          <w:sz w:val="24"/>
          <w:szCs w:val="24"/>
          <w:shd w:val="clear" w:color="auto" w:fill="FFFFFF"/>
        </w:rPr>
        <w:t>based on surmise, speculation, conjecture, or guess</w:t>
      </w:r>
      <w:r w:rsidR="00757509">
        <w:rPr>
          <w:rFonts w:ascii="Times New Roman" w:hAnsi="Times New Roman"/>
          <w:color w:val="000000"/>
          <w:sz w:val="24"/>
          <w:szCs w:val="24"/>
          <w:shd w:val="clear" w:color="auto" w:fill="FFFFFF"/>
        </w:rPr>
        <w:t>).</w:t>
      </w:r>
      <w:r w:rsidR="00067A91" w:rsidRPr="00E76762">
        <w:rPr>
          <w:rFonts w:ascii="Times New Roman" w:hAnsi="Times New Roman"/>
          <w:color w:val="000000"/>
          <w:sz w:val="24"/>
          <w:szCs w:val="24"/>
        </w:rPr>
        <w:t xml:space="preserve">  </w:t>
      </w:r>
      <w:r w:rsidR="00442F4F">
        <w:rPr>
          <w:rFonts w:ascii="Times New Roman" w:hAnsi="Times New Roman"/>
          <w:color w:val="000000"/>
          <w:sz w:val="24"/>
          <w:szCs w:val="24"/>
        </w:rPr>
        <w:t>T</w:t>
      </w:r>
      <w:r w:rsidR="00757509">
        <w:rPr>
          <w:rFonts w:ascii="Times New Roman" w:hAnsi="Times New Roman"/>
          <w:color w:val="000000"/>
          <w:sz w:val="24"/>
          <w:szCs w:val="24"/>
        </w:rPr>
        <w:t xml:space="preserve">he </w:t>
      </w:r>
      <w:r w:rsidR="001E1411">
        <w:rPr>
          <w:rFonts w:ascii="Times New Roman" w:hAnsi="Times New Roman"/>
          <w:color w:val="000000"/>
          <w:sz w:val="24"/>
          <w:szCs w:val="24"/>
        </w:rPr>
        <w:t xml:space="preserve">State </w:t>
      </w:r>
      <w:r w:rsidR="00757509">
        <w:rPr>
          <w:rFonts w:ascii="Times New Roman" w:hAnsi="Times New Roman"/>
          <w:color w:val="000000"/>
          <w:sz w:val="24"/>
          <w:szCs w:val="24"/>
        </w:rPr>
        <w:t>Auditor’s Report</w:t>
      </w:r>
      <w:r w:rsidR="00442F4F">
        <w:rPr>
          <w:rFonts w:ascii="Times New Roman" w:hAnsi="Times New Roman"/>
          <w:color w:val="000000"/>
          <w:sz w:val="24"/>
          <w:szCs w:val="24"/>
        </w:rPr>
        <w:t xml:space="preserve"> itself </w:t>
      </w:r>
      <w:r w:rsidR="00757509">
        <w:rPr>
          <w:rFonts w:ascii="Times New Roman" w:hAnsi="Times New Roman"/>
          <w:color w:val="000000"/>
          <w:sz w:val="24"/>
          <w:szCs w:val="24"/>
        </w:rPr>
        <w:t xml:space="preserve">referenced </w:t>
      </w:r>
      <w:r w:rsidR="00757509">
        <w:rPr>
          <w:rFonts w:ascii="Times New Roman" w:hAnsi="Times New Roman"/>
          <w:sz w:val="24"/>
          <w:szCs w:val="24"/>
        </w:rPr>
        <w:t xml:space="preserve">the </w:t>
      </w:r>
      <w:r w:rsidR="00067A91" w:rsidRPr="00E76762">
        <w:rPr>
          <w:rFonts w:ascii="Times New Roman" w:hAnsi="Times New Roman"/>
          <w:sz w:val="24"/>
          <w:szCs w:val="24"/>
        </w:rPr>
        <w:t>avoidable delays in claim resolution, delays in provision of employee benefits, and unnecessary litigation</w:t>
      </w:r>
      <w:r w:rsidR="00757509">
        <w:rPr>
          <w:rFonts w:ascii="Times New Roman" w:hAnsi="Times New Roman"/>
          <w:sz w:val="24"/>
          <w:szCs w:val="24"/>
        </w:rPr>
        <w:t xml:space="preserve"> caused by inaccurate and incomplete medical reports</w:t>
      </w:r>
      <w:r w:rsidR="00067A91" w:rsidRPr="00E76762">
        <w:rPr>
          <w:rFonts w:ascii="Times New Roman" w:hAnsi="Times New Roman"/>
          <w:sz w:val="24"/>
          <w:szCs w:val="24"/>
        </w:rPr>
        <w:t xml:space="preserve">.  However, the remedy to improve the quality of these reports should not be predicated on increasing amounts to be paid but rather on continuous QME oversight and enforcement by the DWC and challenges to inaccurate or incomplete medical-legal reports at the WCAB. </w:t>
      </w:r>
      <w:r w:rsidR="00757509">
        <w:rPr>
          <w:rFonts w:ascii="Times New Roman" w:hAnsi="Times New Roman"/>
          <w:sz w:val="24"/>
          <w:szCs w:val="24"/>
        </w:rPr>
        <w:t xml:space="preserve"> </w:t>
      </w:r>
      <w:r w:rsidR="00067A91" w:rsidRPr="00E76762">
        <w:rPr>
          <w:rFonts w:ascii="Times New Roman" w:hAnsi="Times New Roman"/>
          <w:sz w:val="24"/>
          <w:szCs w:val="24"/>
        </w:rPr>
        <w:t xml:space="preserve">Moreover, while an increase in fees might retain some providers who consistently submit quality reports, </w:t>
      </w:r>
      <w:r w:rsidR="00067A91" w:rsidRPr="00E76762">
        <w:rPr>
          <w:rFonts w:ascii="Times New Roman" w:eastAsia="Times New Roman" w:hAnsi="Times New Roman"/>
          <w:bCs/>
          <w:color w:val="252525"/>
          <w:sz w:val="24"/>
          <w:szCs w:val="24"/>
          <w:lang w:val="en"/>
        </w:rPr>
        <w:t>increasing the fee amounts also result</w:t>
      </w:r>
      <w:r w:rsidR="00757509">
        <w:rPr>
          <w:rFonts w:ascii="Times New Roman" w:eastAsia="Times New Roman" w:hAnsi="Times New Roman"/>
          <w:bCs/>
          <w:color w:val="252525"/>
          <w:sz w:val="24"/>
          <w:szCs w:val="24"/>
          <w:lang w:val="en"/>
        </w:rPr>
        <w:t>s</w:t>
      </w:r>
      <w:r w:rsidR="00067A91" w:rsidRPr="00E76762">
        <w:rPr>
          <w:rFonts w:ascii="Times New Roman" w:eastAsia="Times New Roman" w:hAnsi="Times New Roman"/>
          <w:bCs/>
          <w:color w:val="252525"/>
          <w:sz w:val="24"/>
          <w:szCs w:val="24"/>
          <w:lang w:val="en"/>
        </w:rPr>
        <w:t xml:space="preserve"> </w:t>
      </w:r>
      <w:r w:rsidR="00757509">
        <w:rPr>
          <w:rFonts w:ascii="Times New Roman" w:eastAsia="Times New Roman" w:hAnsi="Times New Roman"/>
          <w:bCs/>
          <w:color w:val="252525"/>
          <w:sz w:val="24"/>
          <w:szCs w:val="24"/>
          <w:lang w:val="en"/>
        </w:rPr>
        <w:t xml:space="preserve">in the unintended consequence of retaining providers who </w:t>
      </w:r>
      <w:r w:rsidR="00757509" w:rsidRPr="00757509">
        <w:rPr>
          <w:rFonts w:ascii="Times New Roman" w:eastAsia="Times New Roman" w:hAnsi="Times New Roman"/>
          <w:bCs/>
          <w:i/>
          <w:iCs/>
          <w:color w:val="252525"/>
          <w:sz w:val="24"/>
          <w:szCs w:val="24"/>
          <w:lang w:val="en"/>
        </w:rPr>
        <w:t>do</w:t>
      </w:r>
      <w:r w:rsidR="00757509">
        <w:rPr>
          <w:rFonts w:ascii="Times New Roman" w:eastAsia="Times New Roman" w:hAnsi="Times New Roman"/>
          <w:bCs/>
          <w:color w:val="252525"/>
          <w:sz w:val="24"/>
          <w:szCs w:val="24"/>
          <w:lang w:val="en"/>
        </w:rPr>
        <w:t xml:space="preserve"> </w:t>
      </w:r>
      <w:r w:rsidR="00757509" w:rsidRPr="00757509">
        <w:rPr>
          <w:rFonts w:ascii="Times New Roman" w:eastAsia="Times New Roman" w:hAnsi="Times New Roman"/>
          <w:bCs/>
          <w:i/>
          <w:iCs/>
          <w:color w:val="252525"/>
          <w:sz w:val="24"/>
          <w:szCs w:val="24"/>
          <w:lang w:val="en"/>
        </w:rPr>
        <w:t>not</w:t>
      </w:r>
      <w:r w:rsidR="00757509">
        <w:rPr>
          <w:rFonts w:ascii="Times New Roman" w:eastAsia="Times New Roman" w:hAnsi="Times New Roman"/>
          <w:bCs/>
          <w:color w:val="252525"/>
          <w:sz w:val="24"/>
          <w:szCs w:val="24"/>
          <w:lang w:val="en"/>
        </w:rPr>
        <w:t xml:space="preserve"> submit quality reports.  The proposed</w:t>
      </w:r>
      <w:r w:rsidR="00067A91" w:rsidRPr="00E76762">
        <w:rPr>
          <w:rFonts w:ascii="Times New Roman" w:eastAsia="Times New Roman" w:hAnsi="Times New Roman"/>
          <w:bCs/>
          <w:color w:val="252525"/>
          <w:sz w:val="24"/>
          <w:szCs w:val="24"/>
          <w:lang w:val="en"/>
        </w:rPr>
        <w:t xml:space="preserve"> fee schedule</w:t>
      </w:r>
      <w:r w:rsidR="00CA2AA4">
        <w:rPr>
          <w:rFonts w:ascii="Times New Roman" w:eastAsia="Times New Roman" w:hAnsi="Times New Roman"/>
          <w:bCs/>
          <w:color w:val="252525"/>
          <w:sz w:val="24"/>
          <w:szCs w:val="24"/>
          <w:lang w:val="en"/>
        </w:rPr>
        <w:t xml:space="preserve"> might well </w:t>
      </w:r>
      <w:r w:rsidR="00067A91" w:rsidRPr="00E76762">
        <w:rPr>
          <w:rFonts w:ascii="Times New Roman" w:eastAsia="Times New Roman" w:hAnsi="Times New Roman"/>
          <w:bCs/>
          <w:color w:val="252525"/>
          <w:sz w:val="24"/>
          <w:szCs w:val="24"/>
          <w:lang w:val="en"/>
        </w:rPr>
        <w:t xml:space="preserve">attract physicians whose primary incentive </w:t>
      </w:r>
      <w:r w:rsidR="00757509">
        <w:rPr>
          <w:rFonts w:ascii="Times New Roman" w:eastAsia="Times New Roman" w:hAnsi="Times New Roman"/>
          <w:bCs/>
          <w:color w:val="252525"/>
          <w:sz w:val="24"/>
          <w:szCs w:val="24"/>
          <w:lang w:val="en"/>
        </w:rPr>
        <w:t>is</w:t>
      </w:r>
      <w:r w:rsidR="00067A91" w:rsidRPr="00E76762">
        <w:rPr>
          <w:rFonts w:ascii="Times New Roman" w:eastAsia="Times New Roman" w:hAnsi="Times New Roman"/>
          <w:bCs/>
          <w:color w:val="252525"/>
          <w:sz w:val="24"/>
          <w:szCs w:val="24"/>
          <w:lang w:val="en"/>
        </w:rPr>
        <w:t xml:space="preserve"> the amount </w:t>
      </w:r>
      <w:r w:rsidR="00757509">
        <w:rPr>
          <w:rFonts w:ascii="Times New Roman" w:eastAsia="Times New Roman" w:hAnsi="Times New Roman"/>
          <w:bCs/>
          <w:color w:val="252525"/>
          <w:sz w:val="24"/>
          <w:szCs w:val="24"/>
          <w:lang w:val="en"/>
        </w:rPr>
        <w:t>t</w:t>
      </w:r>
      <w:r w:rsidR="00067A91" w:rsidRPr="00E76762">
        <w:rPr>
          <w:rFonts w:ascii="Times New Roman" w:eastAsia="Times New Roman" w:hAnsi="Times New Roman"/>
          <w:bCs/>
          <w:color w:val="252525"/>
          <w:sz w:val="24"/>
          <w:szCs w:val="24"/>
          <w:lang w:val="en"/>
        </w:rPr>
        <w:t xml:space="preserve">o be paid rather than </w:t>
      </w:r>
      <w:r w:rsidR="00757509">
        <w:rPr>
          <w:rFonts w:ascii="Times New Roman" w:eastAsia="Times New Roman" w:hAnsi="Times New Roman"/>
          <w:bCs/>
          <w:color w:val="252525"/>
          <w:sz w:val="24"/>
          <w:szCs w:val="24"/>
          <w:lang w:val="en"/>
        </w:rPr>
        <w:t>produc</w:t>
      </w:r>
      <w:r w:rsidR="001E1411">
        <w:rPr>
          <w:rFonts w:ascii="Times New Roman" w:eastAsia="Times New Roman" w:hAnsi="Times New Roman"/>
          <w:bCs/>
          <w:color w:val="252525"/>
          <w:sz w:val="24"/>
          <w:szCs w:val="24"/>
          <w:lang w:val="en"/>
        </w:rPr>
        <w:t>tion of</w:t>
      </w:r>
      <w:r w:rsidR="00757509">
        <w:rPr>
          <w:rFonts w:ascii="Times New Roman" w:eastAsia="Times New Roman" w:hAnsi="Times New Roman"/>
          <w:bCs/>
          <w:color w:val="252525"/>
          <w:sz w:val="24"/>
          <w:szCs w:val="24"/>
          <w:lang w:val="en"/>
        </w:rPr>
        <w:t xml:space="preserve"> a </w:t>
      </w:r>
      <w:r w:rsidR="00067A91" w:rsidRPr="00E76762">
        <w:rPr>
          <w:rFonts w:ascii="Times New Roman" w:eastAsia="Times New Roman" w:hAnsi="Times New Roman"/>
          <w:bCs/>
          <w:color w:val="252525"/>
          <w:sz w:val="24"/>
          <w:szCs w:val="24"/>
          <w:lang w:val="en"/>
        </w:rPr>
        <w:t xml:space="preserve">quality medical report. </w:t>
      </w:r>
    </w:p>
    <w:p w14:paraId="7D7B3A09" w14:textId="7DD726D1" w:rsidR="00067A91" w:rsidRPr="00626B69" w:rsidRDefault="00067A91" w:rsidP="00626B69">
      <w:pPr>
        <w:pStyle w:val="ListParagraph"/>
        <w:shd w:val="clear" w:color="auto" w:fill="FFFFFF"/>
        <w:spacing w:line="240" w:lineRule="auto"/>
        <w:rPr>
          <w:rFonts w:ascii="Times New Roman" w:eastAsia="Times New Roman" w:hAnsi="Times New Roman"/>
          <w:bCs/>
          <w:color w:val="252525"/>
          <w:sz w:val="24"/>
          <w:szCs w:val="24"/>
          <w:lang w:val="en"/>
        </w:rPr>
      </w:pPr>
    </w:p>
    <w:p w14:paraId="68D7B991" w14:textId="610C8783" w:rsidR="00C55318" w:rsidRPr="00B711C9" w:rsidRDefault="00C55318" w:rsidP="00C55318">
      <w:pPr>
        <w:shd w:val="clear" w:color="auto" w:fill="FFFFFF"/>
        <w:spacing w:line="240" w:lineRule="auto"/>
        <w:rPr>
          <w:rFonts w:ascii="Times New Roman" w:eastAsia="Times New Roman" w:hAnsi="Times New Roman"/>
          <w:bCs/>
          <w:color w:val="252525"/>
          <w:sz w:val="24"/>
          <w:szCs w:val="24"/>
          <w:lang w:val="en"/>
        </w:rPr>
      </w:pPr>
      <w:r>
        <w:rPr>
          <w:rFonts w:ascii="Times New Roman" w:eastAsia="Times New Roman" w:hAnsi="Times New Roman"/>
          <w:bCs/>
          <w:color w:val="252525"/>
          <w:sz w:val="24"/>
          <w:szCs w:val="24"/>
          <w:lang w:val="en"/>
        </w:rPr>
        <w:t>The propos</w:t>
      </w:r>
      <w:r w:rsidR="007975A8">
        <w:rPr>
          <w:rFonts w:ascii="Times New Roman" w:eastAsia="Times New Roman" w:hAnsi="Times New Roman"/>
          <w:bCs/>
          <w:color w:val="252525"/>
          <w:sz w:val="24"/>
          <w:szCs w:val="24"/>
          <w:lang w:val="en"/>
        </w:rPr>
        <w:t>ed fee schedule</w:t>
      </w:r>
      <w:r>
        <w:rPr>
          <w:rFonts w:ascii="Times New Roman" w:eastAsia="Times New Roman" w:hAnsi="Times New Roman"/>
          <w:bCs/>
          <w:color w:val="252525"/>
          <w:sz w:val="24"/>
          <w:szCs w:val="24"/>
          <w:lang w:val="en"/>
        </w:rPr>
        <w:t xml:space="preserve"> has little </w:t>
      </w:r>
      <w:r w:rsidRPr="00FC0C02">
        <w:rPr>
          <w:rFonts w:ascii="Times New Roman" w:eastAsia="Times New Roman" w:hAnsi="Times New Roman"/>
          <w:bCs/>
          <w:color w:val="252525"/>
          <w:sz w:val="24"/>
          <w:szCs w:val="24"/>
          <w:lang w:val="en"/>
        </w:rPr>
        <w:t>chance of getting the Division out from under</w:t>
      </w:r>
      <w:r w:rsidR="007975A8" w:rsidRPr="00FC0C02">
        <w:rPr>
          <w:rFonts w:ascii="Times New Roman" w:eastAsia="Times New Roman" w:hAnsi="Times New Roman"/>
          <w:bCs/>
          <w:color w:val="252525"/>
          <w:sz w:val="24"/>
          <w:szCs w:val="24"/>
          <w:lang w:val="en"/>
        </w:rPr>
        <w:t xml:space="preserve"> the criticism that is tied to the current system</w:t>
      </w:r>
      <w:r w:rsidRPr="00FC0C02">
        <w:rPr>
          <w:rFonts w:ascii="Times New Roman" w:eastAsia="Times New Roman" w:hAnsi="Times New Roman"/>
          <w:bCs/>
          <w:color w:val="252525"/>
          <w:sz w:val="24"/>
          <w:szCs w:val="24"/>
          <w:lang w:val="en"/>
        </w:rPr>
        <w:t xml:space="preserve">, and </w:t>
      </w:r>
      <w:r w:rsidR="00B711C9">
        <w:rPr>
          <w:rFonts w:ascii="Times New Roman" w:eastAsia="Times New Roman" w:hAnsi="Times New Roman"/>
          <w:bCs/>
          <w:color w:val="252525"/>
          <w:sz w:val="24"/>
          <w:szCs w:val="24"/>
          <w:lang w:val="en"/>
        </w:rPr>
        <w:t>instead increases</w:t>
      </w:r>
      <w:r w:rsidR="00FC0C02" w:rsidRPr="00FC0C02">
        <w:rPr>
          <w:rFonts w:ascii="Times New Roman" w:hAnsi="Times New Roman"/>
          <w:sz w:val="24"/>
          <w:szCs w:val="24"/>
        </w:rPr>
        <w:t xml:space="preserve"> the likelihood of exacerbating the existing problem</w:t>
      </w:r>
      <w:r w:rsidR="00B711C9">
        <w:rPr>
          <w:rFonts w:ascii="Times New Roman" w:hAnsi="Times New Roman"/>
          <w:sz w:val="24"/>
          <w:szCs w:val="24"/>
        </w:rPr>
        <w:t>s</w:t>
      </w:r>
      <w:r w:rsidRPr="00FC0C02">
        <w:rPr>
          <w:rFonts w:ascii="Times New Roman" w:eastAsia="Times New Roman" w:hAnsi="Times New Roman"/>
          <w:bCs/>
          <w:color w:val="252525"/>
          <w:sz w:val="24"/>
          <w:szCs w:val="24"/>
          <w:lang w:val="en"/>
        </w:rPr>
        <w:t xml:space="preserve">.  </w:t>
      </w:r>
      <w:r w:rsidR="007975A8" w:rsidRPr="00FC0C02">
        <w:rPr>
          <w:rFonts w:ascii="Times New Roman" w:eastAsia="Times New Roman" w:hAnsi="Times New Roman"/>
          <w:bCs/>
          <w:color w:val="252525"/>
          <w:sz w:val="24"/>
          <w:szCs w:val="24"/>
          <w:lang w:val="en"/>
        </w:rPr>
        <w:t>The Institute urges the Division to instead</w:t>
      </w:r>
      <w:r w:rsidR="007975A8">
        <w:rPr>
          <w:rFonts w:ascii="Times New Roman" w:eastAsia="Times New Roman" w:hAnsi="Times New Roman"/>
          <w:bCs/>
          <w:color w:val="252525"/>
          <w:sz w:val="24"/>
          <w:szCs w:val="24"/>
          <w:lang w:val="en"/>
        </w:rPr>
        <w:t xml:space="preserve"> institute a two-year </w:t>
      </w:r>
      <w:r w:rsidR="0032759A">
        <w:rPr>
          <w:rFonts w:ascii="Times New Roman" w:eastAsia="Times New Roman" w:hAnsi="Times New Roman"/>
          <w:bCs/>
          <w:color w:val="252525"/>
          <w:sz w:val="24"/>
          <w:szCs w:val="24"/>
          <w:lang w:val="en"/>
        </w:rPr>
        <w:t>interim</w:t>
      </w:r>
      <w:r w:rsidR="007975A8">
        <w:rPr>
          <w:rFonts w:ascii="Times New Roman" w:eastAsia="Times New Roman" w:hAnsi="Times New Roman"/>
          <w:bCs/>
          <w:color w:val="252525"/>
          <w:sz w:val="24"/>
          <w:szCs w:val="24"/>
          <w:lang w:val="en"/>
        </w:rPr>
        <w:t xml:space="preserve"> measure such as an across-the-board increase in the reimbursement rate under existing </w:t>
      </w:r>
      <w:r w:rsidR="0096696E">
        <w:rPr>
          <w:rFonts w:ascii="Times New Roman" w:eastAsia="Times New Roman" w:hAnsi="Times New Roman"/>
          <w:bCs/>
          <w:color w:val="252525"/>
          <w:sz w:val="24"/>
          <w:szCs w:val="24"/>
          <w:lang w:val="en"/>
        </w:rPr>
        <w:t xml:space="preserve">8 CCR </w:t>
      </w:r>
      <w:r w:rsidR="007975A8">
        <w:rPr>
          <w:rFonts w:ascii="Times New Roman" w:eastAsia="Times New Roman" w:hAnsi="Times New Roman"/>
          <w:bCs/>
          <w:color w:val="252525"/>
          <w:sz w:val="24"/>
          <w:szCs w:val="24"/>
          <w:lang w:val="en"/>
        </w:rPr>
        <w:t xml:space="preserve">§9795 that </w:t>
      </w:r>
      <w:r w:rsidR="007975A8">
        <w:rPr>
          <w:rFonts w:ascii="Times New Roman" w:eastAsia="Times New Roman" w:hAnsi="Times New Roman"/>
          <w:bCs/>
          <w:color w:val="252525"/>
          <w:sz w:val="24"/>
          <w:szCs w:val="24"/>
          <w:lang w:val="en"/>
        </w:rPr>
        <w:lastRenderedPageBreak/>
        <w:t xml:space="preserve">addresses the concerns set forth in the </w:t>
      </w:r>
      <w:r w:rsidR="00626B69">
        <w:rPr>
          <w:rFonts w:ascii="Times New Roman" w:eastAsia="Times New Roman" w:hAnsi="Times New Roman"/>
          <w:bCs/>
          <w:color w:val="252525"/>
          <w:sz w:val="24"/>
          <w:szCs w:val="24"/>
          <w:lang w:val="en"/>
        </w:rPr>
        <w:t xml:space="preserve">State </w:t>
      </w:r>
      <w:r w:rsidR="007975A8">
        <w:rPr>
          <w:rFonts w:ascii="Times New Roman" w:eastAsia="Times New Roman" w:hAnsi="Times New Roman"/>
          <w:bCs/>
          <w:color w:val="252525"/>
          <w:sz w:val="24"/>
          <w:szCs w:val="24"/>
          <w:lang w:val="en"/>
        </w:rPr>
        <w:t>Auditor</w:t>
      </w:r>
      <w:r w:rsidR="00626B69">
        <w:rPr>
          <w:rFonts w:ascii="Times New Roman" w:eastAsia="Times New Roman" w:hAnsi="Times New Roman"/>
          <w:bCs/>
          <w:color w:val="252525"/>
          <w:sz w:val="24"/>
          <w:szCs w:val="24"/>
          <w:lang w:val="en"/>
        </w:rPr>
        <w:t>’s Report</w:t>
      </w:r>
      <w:r w:rsidR="007975A8">
        <w:rPr>
          <w:rFonts w:ascii="Times New Roman" w:eastAsia="Times New Roman" w:hAnsi="Times New Roman"/>
          <w:bCs/>
          <w:color w:val="252525"/>
          <w:sz w:val="24"/>
          <w:szCs w:val="24"/>
          <w:lang w:val="en"/>
        </w:rPr>
        <w:t xml:space="preserve">.  During the two-year pause, legislation can be drafted (even by the Division </w:t>
      </w:r>
      <w:r w:rsidR="007975A8" w:rsidRPr="00B711C9">
        <w:rPr>
          <w:rFonts w:ascii="Times New Roman" w:eastAsia="Times New Roman" w:hAnsi="Times New Roman"/>
          <w:bCs/>
          <w:color w:val="252525"/>
          <w:sz w:val="24"/>
          <w:szCs w:val="24"/>
          <w:lang w:val="en"/>
        </w:rPr>
        <w:t>itself) to set the necessary foundation for the flat fee system – a foundation that ensures its success rather than its failure.</w:t>
      </w:r>
      <w:r w:rsidR="009A5BCD" w:rsidRPr="00B711C9">
        <w:rPr>
          <w:rFonts w:ascii="Times New Roman" w:eastAsia="Times New Roman" w:hAnsi="Times New Roman"/>
          <w:bCs/>
          <w:color w:val="252525"/>
          <w:sz w:val="24"/>
          <w:szCs w:val="24"/>
          <w:lang w:val="en"/>
        </w:rPr>
        <w:t xml:space="preserve">  </w:t>
      </w:r>
      <w:r w:rsidR="00B711C9" w:rsidRPr="00B711C9">
        <w:rPr>
          <w:rFonts w:ascii="Times New Roman" w:eastAsia="Times New Roman" w:hAnsi="Times New Roman"/>
          <w:bCs/>
          <w:color w:val="252525"/>
          <w:sz w:val="24"/>
          <w:szCs w:val="24"/>
          <w:lang w:val="en"/>
        </w:rPr>
        <w:t>A</w:t>
      </w:r>
      <w:r w:rsidR="009A5BCD" w:rsidRPr="00B711C9">
        <w:rPr>
          <w:rFonts w:ascii="Times New Roman" w:eastAsia="Times New Roman" w:hAnsi="Times New Roman"/>
          <w:bCs/>
          <w:color w:val="252525"/>
          <w:sz w:val="24"/>
          <w:szCs w:val="24"/>
          <w:lang w:val="en"/>
        </w:rPr>
        <w:t xml:space="preserve"> two-year pause would also provide ample opportunity for the Division to improve regulations governing the education, training, and reappointment of QMEs.</w:t>
      </w:r>
    </w:p>
    <w:p w14:paraId="481B88D0" w14:textId="3BAD2C67" w:rsidR="007975A8" w:rsidRPr="00F13760" w:rsidRDefault="007975A8" w:rsidP="00C55318">
      <w:pPr>
        <w:shd w:val="clear" w:color="auto" w:fill="FFFFFF"/>
        <w:spacing w:line="240" w:lineRule="auto"/>
        <w:rPr>
          <w:rFonts w:ascii="Times New Roman" w:eastAsia="Times New Roman" w:hAnsi="Times New Roman"/>
          <w:bCs/>
          <w:color w:val="252525"/>
          <w:sz w:val="24"/>
          <w:szCs w:val="24"/>
          <w:lang w:val="en"/>
        </w:rPr>
      </w:pPr>
      <w:r>
        <w:rPr>
          <w:rFonts w:ascii="Times New Roman" w:eastAsia="Times New Roman" w:hAnsi="Times New Roman"/>
          <w:bCs/>
          <w:color w:val="252525"/>
          <w:sz w:val="24"/>
          <w:szCs w:val="24"/>
          <w:lang w:val="en"/>
        </w:rPr>
        <w:t xml:space="preserve">Having shared our strong misgivings about the current proposal, CWCI nevertheless wishes to </w:t>
      </w:r>
      <w:proofErr w:type="gramStart"/>
      <w:r>
        <w:rPr>
          <w:rFonts w:ascii="Times New Roman" w:eastAsia="Times New Roman" w:hAnsi="Times New Roman"/>
          <w:bCs/>
          <w:color w:val="252525"/>
          <w:sz w:val="24"/>
          <w:szCs w:val="24"/>
          <w:lang w:val="en"/>
        </w:rPr>
        <w:t>provide assistance</w:t>
      </w:r>
      <w:proofErr w:type="gramEnd"/>
      <w:r>
        <w:rPr>
          <w:rFonts w:ascii="Times New Roman" w:eastAsia="Times New Roman" w:hAnsi="Times New Roman"/>
          <w:bCs/>
          <w:color w:val="252525"/>
          <w:sz w:val="24"/>
          <w:szCs w:val="24"/>
          <w:lang w:val="en"/>
        </w:rPr>
        <w:t xml:space="preserve"> in the drafting of the proposed regulations</w:t>
      </w:r>
      <w:r w:rsidR="00B5280E">
        <w:rPr>
          <w:rFonts w:ascii="Times New Roman" w:eastAsia="Times New Roman" w:hAnsi="Times New Roman"/>
          <w:bCs/>
          <w:color w:val="252525"/>
          <w:sz w:val="24"/>
          <w:szCs w:val="24"/>
          <w:lang w:val="en"/>
        </w:rPr>
        <w:t>, as outlined below</w:t>
      </w:r>
      <w:r>
        <w:rPr>
          <w:rFonts w:ascii="Times New Roman" w:eastAsia="Times New Roman" w:hAnsi="Times New Roman"/>
          <w:bCs/>
          <w:color w:val="252525"/>
          <w:sz w:val="24"/>
          <w:szCs w:val="24"/>
          <w:lang w:val="en"/>
        </w:rPr>
        <w:t xml:space="preserve">.  We only hope that these proposals can wait for the proper foundation to be built.  </w:t>
      </w:r>
    </w:p>
    <w:p w14:paraId="30FFE083" w14:textId="3D77AE94" w:rsidR="00412E75" w:rsidRPr="00F13760" w:rsidRDefault="00412E75" w:rsidP="00F13760">
      <w:pPr>
        <w:shd w:val="clear" w:color="auto" w:fill="FFFFFF"/>
        <w:spacing w:line="240" w:lineRule="auto"/>
        <w:rPr>
          <w:rFonts w:ascii="Times New Roman" w:eastAsia="Times New Roman" w:hAnsi="Times New Roman"/>
          <w:bCs/>
          <w:color w:val="252525"/>
          <w:sz w:val="24"/>
          <w:szCs w:val="24"/>
          <w:lang w:val="en"/>
        </w:rPr>
      </w:pPr>
    </w:p>
    <w:p w14:paraId="3051E9D4" w14:textId="42CDAE9D" w:rsidR="007A2775" w:rsidRPr="007A2775" w:rsidRDefault="007A2775" w:rsidP="007A2775">
      <w:pPr>
        <w:shd w:val="clear" w:color="auto" w:fill="FFFFFF"/>
        <w:spacing w:line="360" w:lineRule="atLeast"/>
        <w:rPr>
          <w:rFonts w:ascii="Times New Roman" w:eastAsia="Times New Roman" w:hAnsi="Times New Roman"/>
          <w:b/>
          <w:color w:val="252525"/>
          <w:sz w:val="24"/>
          <w:szCs w:val="24"/>
          <w:lang w:val="en"/>
        </w:rPr>
      </w:pPr>
      <w:r w:rsidRPr="007A2775">
        <w:rPr>
          <w:rFonts w:ascii="Times New Roman" w:eastAsia="Times New Roman" w:hAnsi="Times New Roman"/>
          <w:b/>
          <w:color w:val="252525"/>
          <w:sz w:val="24"/>
          <w:szCs w:val="24"/>
          <w:lang w:val="en"/>
        </w:rPr>
        <w:t>§ 9793</w:t>
      </w:r>
      <w:r w:rsidR="00303FEA">
        <w:rPr>
          <w:rFonts w:ascii="Times New Roman" w:eastAsia="Times New Roman" w:hAnsi="Times New Roman"/>
          <w:b/>
          <w:color w:val="252525"/>
          <w:sz w:val="24"/>
          <w:szCs w:val="24"/>
          <w:lang w:val="en"/>
        </w:rPr>
        <w:t>:</w:t>
      </w:r>
      <w:r w:rsidRPr="007A2775">
        <w:rPr>
          <w:rFonts w:ascii="Times New Roman" w:eastAsia="Times New Roman" w:hAnsi="Times New Roman"/>
          <w:b/>
          <w:color w:val="252525"/>
          <w:sz w:val="24"/>
          <w:szCs w:val="24"/>
          <w:lang w:val="en"/>
        </w:rPr>
        <w:t xml:space="preserve"> Definitions.</w:t>
      </w:r>
    </w:p>
    <w:p w14:paraId="6448374F" w14:textId="6DB8187F" w:rsidR="007A2775" w:rsidRDefault="007A2775" w:rsidP="007A2775">
      <w:pPr>
        <w:shd w:val="clear" w:color="auto" w:fill="FFFFFF"/>
        <w:spacing w:line="288" w:lineRule="atLeast"/>
        <w:rPr>
          <w:rFonts w:ascii="Times New Roman" w:eastAsia="Times New Roman" w:hAnsi="Times New Roman"/>
          <w:color w:val="212121"/>
          <w:sz w:val="24"/>
          <w:szCs w:val="24"/>
          <w:lang w:val="en"/>
        </w:rPr>
      </w:pPr>
      <w:r w:rsidRPr="007A2775">
        <w:rPr>
          <w:rFonts w:ascii="Times New Roman" w:eastAsia="Times New Roman" w:hAnsi="Times New Roman"/>
          <w:color w:val="212121"/>
          <w:sz w:val="24"/>
          <w:szCs w:val="24"/>
          <w:lang w:val="en"/>
        </w:rPr>
        <w:t>(c)</w:t>
      </w:r>
      <w:r>
        <w:rPr>
          <w:rFonts w:ascii="Times New Roman" w:eastAsia="Times New Roman" w:hAnsi="Times New Roman"/>
          <w:color w:val="212121"/>
          <w:sz w:val="24"/>
          <w:szCs w:val="24"/>
          <w:lang w:val="en"/>
        </w:rPr>
        <w:t xml:space="preserve">(2) </w:t>
      </w:r>
      <w:r w:rsidRPr="007A2775">
        <w:rPr>
          <w:rFonts w:ascii="Times New Roman" w:eastAsia="Times New Roman" w:hAnsi="Times New Roman"/>
          <w:color w:val="212121"/>
          <w:sz w:val="24"/>
          <w:szCs w:val="24"/>
          <w:lang w:val="en"/>
        </w:rPr>
        <w:t>performed by a</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highlight w:val="yellow"/>
          <w:u w:val="single"/>
          <w:lang w:val="en"/>
        </w:rPr>
        <w:t>panel-selected</w:t>
      </w:r>
      <w:r w:rsidRPr="007A2775">
        <w:rPr>
          <w:rFonts w:ascii="Times New Roman" w:eastAsia="Times New Roman" w:hAnsi="Times New Roman"/>
          <w:color w:val="212121"/>
          <w:sz w:val="24"/>
          <w:szCs w:val="24"/>
          <w:lang w:val="en"/>
        </w:rPr>
        <w:t xml:space="preserve"> Qualified Medical Evaluator, </w:t>
      </w:r>
      <w:r w:rsidRPr="007A2775">
        <w:rPr>
          <w:rFonts w:ascii="Times New Roman" w:eastAsia="Times New Roman" w:hAnsi="Times New Roman"/>
          <w:color w:val="212121"/>
          <w:sz w:val="24"/>
          <w:szCs w:val="24"/>
          <w:highlight w:val="yellow"/>
          <w:u w:val="single"/>
          <w:lang w:val="en"/>
        </w:rPr>
        <w:t>by an</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lang w:val="en"/>
        </w:rPr>
        <w:t xml:space="preserve">Agreed Medical Evaluator, or </w:t>
      </w:r>
      <w:r w:rsidRPr="007A2775">
        <w:rPr>
          <w:rFonts w:ascii="Times New Roman" w:eastAsia="Times New Roman" w:hAnsi="Times New Roman"/>
          <w:color w:val="212121"/>
          <w:sz w:val="24"/>
          <w:szCs w:val="24"/>
          <w:highlight w:val="yellow"/>
          <w:u w:val="single"/>
          <w:lang w:val="en"/>
        </w:rPr>
        <w:t>by</w:t>
      </w:r>
      <w:r w:rsidRPr="007A2775">
        <w:rPr>
          <w:rFonts w:ascii="Times New Roman" w:eastAsia="Times New Roman" w:hAnsi="Times New Roman"/>
          <w:color w:val="212121"/>
          <w:sz w:val="24"/>
          <w:szCs w:val="24"/>
          <w:u w:val="single"/>
          <w:lang w:val="en"/>
        </w:rPr>
        <w:t xml:space="preserve"> </w:t>
      </w:r>
      <w:r w:rsidRPr="007A2775">
        <w:rPr>
          <w:rFonts w:ascii="Times New Roman" w:eastAsia="Times New Roman" w:hAnsi="Times New Roman"/>
          <w:color w:val="212121"/>
          <w:sz w:val="24"/>
          <w:szCs w:val="24"/>
          <w:lang w:val="en"/>
        </w:rPr>
        <w:t xml:space="preserve">the primary treating physician </w:t>
      </w:r>
      <w:r w:rsidRPr="007A2775">
        <w:rPr>
          <w:rFonts w:ascii="Times New Roman" w:eastAsia="Times New Roman" w:hAnsi="Times New Roman"/>
          <w:color w:val="212121"/>
          <w:sz w:val="24"/>
          <w:szCs w:val="24"/>
          <w:highlight w:val="yellow"/>
          <w:u w:val="single"/>
          <w:lang w:val="en"/>
        </w:rPr>
        <w:t>upon agreement of the parties,</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lang w:val="en"/>
        </w:rPr>
        <w:t>for the purpose of proving or disproving a contested claim, and which meets the requirements of paragraphs (1) through (5), inclusive, of subdivision (h).</w:t>
      </w:r>
    </w:p>
    <w:p w14:paraId="22B089EC" w14:textId="37225511" w:rsidR="0023394E" w:rsidRDefault="0023394E" w:rsidP="0023394E">
      <w:pPr>
        <w:shd w:val="clear" w:color="auto" w:fill="FFFFFF"/>
        <w:spacing w:after="240"/>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 xml:space="preserve">(g) </w:t>
      </w:r>
      <w:r w:rsidRPr="0023394E">
        <w:rPr>
          <w:rFonts w:ascii="Times New Roman" w:eastAsia="Times New Roman" w:hAnsi="Times New Roman"/>
          <w:color w:val="212121"/>
          <w:sz w:val="24"/>
          <w:szCs w:val="24"/>
          <w:lang w:val="en"/>
        </w:rPr>
        <w:t xml:space="preserve">“Follow-up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w:t>
      </w:r>
      <w:r w:rsidRPr="00540157">
        <w:rPr>
          <w:rFonts w:ascii="Times New Roman" w:eastAsia="Times New Roman" w:hAnsi="Times New Roman"/>
          <w:color w:val="212121"/>
          <w:sz w:val="24"/>
          <w:szCs w:val="24"/>
          <w:lang w:val="en"/>
        </w:rPr>
        <w:t xml:space="preserve">Section </w:t>
      </w:r>
      <w:r w:rsidRPr="0023394E">
        <w:rPr>
          <w:rFonts w:ascii="Times New Roman" w:eastAsia="Times New Roman" w:hAnsi="Times New Roman"/>
          <w:color w:val="212121"/>
          <w:sz w:val="24"/>
          <w:szCs w:val="24"/>
          <w:lang w:val="en"/>
        </w:rPr>
        <w:t xml:space="preserve">10682, (B) is </w:t>
      </w:r>
      <w:r w:rsidRPr="00F07A87">
        <w:rPr>
          <w:rFonts w:ascii="Times New Roman" w:eastAsia="Times New Roman" w:hAnsi="Times New Roman"/>
          <w:sz w:val="24"/>
          <w:szCs w:val="24"/>
          <w:lang w:val="en"/>
        </w:rPr>
        <w:t>performed by a qualified medical evaluator, agreed medical evaluator, or primary treating physician within</w:t>
      </w:r>
      <w:r w:rsidR="00F07A87" w:rsidRPr="00F07A87">
        <w:rPr>
          <w:rFonts w:ascii="Times New Roman" w:eastAsia="Times New Roman" w:hAnsi="Times New Roman"/>
          <w:sz w:val="24"/>
          <w:szCs w:val="24"/>
          <w:u w:val="single"/>
          <w:lang w:val="en"/>
        </w:rPr>
        <w:t xml:space="preserve"> </w:t>
      </w:r>
      <w:r w:rsidR="00F07A87" w:rsidRPr="00F07A87">
        <w:rPr>
          <w:rFonts w:ascii="Times New Roman" w:eastAsia="Times New Roman" w:hAnsi="Times New Roman"/>
          <w:sz w:val="24"/>
          <w:szCs w:val="24"/>
          <w:highlight w:val="yellow"/>
          <w:u w:val="single"/>
          <w:lang w:val="en"/>
        </w:rPr>
        <w:t>nine months following the evaluator’s examination of the employee prior to April 1, 2021, or</w:t>
      </w:r>
      <w:r w:rsidR="00F07A87" w:rsidRPr="00F07A87">
        <w:rPr>
          <w:rFonts w:ascii="Times New Roman" w:eastAsia="Times New Roman" w:hAnsi="Times New Roman"/>
          <w:sz w:val="24"/>
          <w:szCs w:val="24"/>
          <w:lang w:val="en"/>
        </w:rPr>
        <w:t xml:space="preserve"> </w:t>
      </w:r>
      <w:r w:rsidRPr="00F07A87">
        <w:rPr>
          <w:rFonts w:ascii="Times New Roman" w:eastAsia="Times New Roman" w:hAnsi="Times New Roman"/>
          <w:sz w:val="24"/>
          <w:szCs w:val="24"/>
          <w:lang w:val="en"/>
        </w:rPr>
        <w:t xml:space="preserve">eighteen (18) months following the evaluator's examination of the employee </w:t>
      </w:r>
      <w:r w:rsidR="00F07A87" w:rsidRPr="00F07A87">
        <w:rPr>
          <w:rFonts w:ascii="Times New Roman" w:eastAsia="Times New Roman" w:hAnsi="Times New Roman"/>
          <w:sz w:val="24"/>
          <w:szCs w:val="24"/>
          <w:highlight w:val="yellow"/>
          <w:u w:val="single"/>
          <w:lang w:val="en"/>
        </w:rPr>
        <w:t>on or after April 1, 2021,</w:t>
      </w:r>
      <w:r w:rsidR="00F07A87" w:rsidRPr="00F07A87">
        <w:rPr>
          <w:rFonts w:ascii="Times New Roman" w:eastAsia="Times New Roman" w:hAnsi="Times New Roman"/>
          <w:sz w:val="24"/>
          <w:szCs w:val="24"/>
          <w:lang w:val="en"/>
        </w:rPr>
        <w:t xml:space="preserve"> </w:t>
      </w:r>
      <w:r w:rsidRPr="00F07A87">
        <w:rPr>
          <w:rFonts w:ascii="Times New Roman" w:eastAsia="Times New Roman" w:hAnsi="Times New Roman"/>
          <w:sz w:val="24"/>
          <w:szCs w:val="24"/>
          <w:lang w:val="en"/>
        </w:rPr>
        <w:t xml:space="preserve">in </w:t>
      </w:r>
      <w:r w:rsidRPr="0023394E">
        <w:rPr>
          <w:rFonts w:ascii="Times New Roman" w:eastAsia="Times New Roman" w:hAnsi="Times New Roman"/>
          <w:color w:val="212121"/>
          <w:sz w:val="24"/>
          <w:szCs w:val="24"/>
          <w:lang w:val="en"/>
        </w:rPr>
        <w:t>a comprehensive medical-legal evaluation</w:t>
      </w:r>
      <w:r w:rsidR="00041190" w:rsidRPr="00041190">
        <w:rPr>
          <w:rFonts w:ascii="Times New Roman" w:eastAsia="Times New Roman" w:hAnsi="Times New Roman"/>
          <w:color w:val="212121"/>
          <w:sz w:val="24"/>
          <w:szCs w:val="24"/>
          <w:highlight w:val="yellow"/>
          <w:u w:val="single"/>
          <w:lang w:val="en"/>
        </w:rPr>
        <w:t>,</w:t>
      </w:r>
      <w:r w:rsidRPr="0023394E">
        <w:rPr>
          <w:rFonts w:ascii="Times New Roman" w:eastAsia="Times New Roman" w:hAnsi="Times New Roman"/>
          <w:color w:val="212121"/>
          <w:sz w:val="24"/>
          <w:szCs w:val="24"/>
          <w:lang w:val="en"/>
        </w:rPr>
        <w:t xml:space="preserve"> and (C) involves an evaluation of the same </w:t>
      </w:r>
      <w:r w:rsidRPr="0091530E">
        <w:rPr>
          <w:rFonts w:ascii="Times New Roman" w:eastAsia="Times New Roman" w:hAnsi="Times New Roman"/>
          <w:color w:val="212121"/>
          <w:sz w:val="24"/>
          <w:szCs w:val="24"/>
          <w:lang w:val="en"/>
        </w:rPr>
        <w:t>inju</w:t>
      </w:r>
      <w:r w:rsidRPr="00B843DB">
        <w:rPr>
          <w:rFonts w:ascii="Times New Roman" w:eastAsia="Times New Roman" w:hAnsi="Times New Roman"/>
          <w:color w:val="212121"/>
          <w:sz w:val="24"/>
          <w:szCs w:val="24"/>
          <w:lang w:val="en"/>
        </w:rPr>
        <w:t>ry or injuries evaluated in the comprehensive medical-legal evaluation.</w:t>
      </w:r>
    </w:p>
    <w:p w14:paraId="5BF31230" w14:textId="1F4F4C7C" w:rsidR="00B843DB" w:rsidRPr="00B843DB" w:rsidRDefault="00B843DB" w:rsidP="00B843DB">
      <w:pPr>
        <w:shd w:val="clear" w:color="auto" w:fill="FFFFFF"/>
        <w:spacing w:after="240"/>
        <w:rPr>
          <w:rFonts w:ascii="Times New Roman" w:eastAsia="Times New Roman" w:hAnsi="Times New Roman"/>
          <w:sz w:val="24"/>
          <w:szCs w:val="24"/>
          <w:lang w:val="en"/>
        </w:rPr>
      </w:pPr>
      <w:r w:rsidRPr="00B843DB">
        <w:rPr>
          <w:rFonts w:ascii="Times New Roman" w:eastAsia="Times New Roman" w:hAnsi="Times New Roman"/>
          <w:sz w:val="24"/>
          <w:szCs w:val="24"/>
          <w:lang w:val="en"/>
        </w:rPr>
        <w:t>(</w:t>
      </w:r>
      <w:r w:rsidRPr="00B843DB">
        <w:rPr>
          <w:rFonts w:ascii="Times New Roman" w:eastAsia="Times New Roman" w:hAnsi="Times New Roman"/>
          <w:i/>
          <w:iCs/>
          <w:sz w:val="24"/>
          <w:szCs w:val="24"/>
          <w:lang w:val="en"/>
        </w:rPr>
        <w:t>l</w:t>
      </w:r>
      <w:r w:rsidRPr="00B843DB">
        <w:rPr>
          <w:rFonts w:ascii="Times New Roman" w:eastAsia="Times New Roman" w:hAnsi="Times New Roman"/>
          <w:sz w:val="24"/>
          <w:szCs w:val="24"/>
          <w:lang w:val="en"/>
        </w:rPr>
        <w:t xml:space="preserve">) “Reports and documents required by the administrative director” </w:t>
      </w:r>
      <w:r w:rsidRPr="00B843DB">
        <w:rPr>
          <w:rFonts w:ascii="Times New Roman" w:eastAsia="Times New Roman" w:hAnsi="Times New Roman"/>
          <w:sz w:val="24"/>
          <w:szCs w:val="24"/>
          <w:highlight w:val="yellow"/>
          <w:u w:val="single"/>
          <w:lang w:val="en"/>
        </w:rPr>
        <w:t>prior to April 1, 2021 means an itemized billing, a copy of the medical-legal evaluation report, and any verification required under Section 9795(c)</w:t>
      </w:r>
      <w:r w:rsidRPr="00B843DB">
        <w:rPr>
          <w:rFonts w:ascii="Times New Roman" w:eastAsia="Times New Roman" w:hAnsi="Times New Roman"/>
          <w:strike/>
          <w:sz w:val="24"/>
          <w:szCs w:val="24"/>
          <w:highlight w:val="yellow"/>
          <w:u w:val="single"/>
          <w:lang w:val="en"/>
        </w:rPr>
        <w:t>.</w:t>
      </w:r>
      <w:r w:rsidRPr="00B843DB">
        <w:rPr>
          <w:rFonts w:ascii="Times New Roman" w:eastAsia="Times New Roman" w:hAnsi="Times New Roman"/>
          <w:sz w:val="24"/>
          <w:szCs w:val="24"/>
          <w:highlight w:val="yellow"/>
          <w:u w:val="single"/>
          <w:lang w:val="en"/>
        </w:rPr>
        <w:t xml:space="preserve">, and on or after April 1, 2021 </w:t>
      </w:r>
      <w:r w:rsidRPr="00B843DB">
        <w:rPr>
          <w:rFonts w:ascii="Times New Roman" w:eastAsia="Times New Roman" w:hAnsi="Times New Roman"/>
          <w:sz w:val="24"/>
          <w:szCs w:val="24"/>
          <w:lang w:val="en"/>
        </w:rPr>
        <w:t>means an itemized billing, a copy of the medical-legal evaluation report, any correspondence received by the physician from the parties to the action, and any verification required under Section 9795(c).</w:t>
      </w:r>
    </w:p>
    <w:p w14:paraId="7A6D2F5F" w14:textId="5332E058" w:rsidR="00FA0DE6" w:rsidRDefault="00FA0DE6" w:rsidP="00FA0DE6">
      <w:pPr>
        <w:spacing w:after="360"/>
        <w:rPr>
          <w:rFonts w:ascii="Arial" w:hAnsi="Arial" w:cs="Arial"/>
          <w:u w:val="single"/>
        </w:rPr>
      </w:pPr>
      <w:r w:rsidRPr="00B843DB">
        <w:rPr>
          <w:rFonts w:ascii="Times New Roman" w:eastAsia="Times New Roman" w:hAnsi="Times New Roman"/>
          <w:sz w:val="24"/>
          <w:szCs w:val="24"/>
          <w:lang w:val="en"/>
        </w:rPr>
        <w:t>(n)</w:t>
      </w:r>
      <w:r w:rsidRPr="00B843DB">
        <w:rPr>
          <w:rFonts w:ascii="Times New Roman" w:hAnsi="Times New Roman"/>
          <w:sz w:val="24"/>
          <w:szCs w:val="24"/>
        </w:rPr>
        <w:t xml:space="preserve"> </w:t>
      </w:r>
      <w:r w:rsidRPr="00B843DB">
        <w:rPr>
          <w:rFonts w:ascii="Times New Roman" w:eastAsia="Times New Roman" w:hAnsi="Times New Roman"/>
          <w:color w:val="212121"/>
          <w:sz w:val="24"/>
          <w:szCs w:val="24"/>
          <w:lang w:val="en"/>
        </w:rPr>
        <w:t xml:space="preserve">“Record Review” means the review </w:t>
      </w:r>
      <w:r w:rsidR="00EB76D1" w:rsidRPr="00EB76D1">
        <w:rPr>
          <w:rFonts w:ascii="Times New Roman" w:eastAsia="Times New Roman" w:hAnsi="Times New Roman"/>
          <w:color w:val="212121"/>
          <w:sz w:val="24"/>
          <w:szCs w:val="24"/>
          <w:highlight w:val="yellow"/>
          <w:u w:val="single"/>
          <w:lang w:val="en"/>
        </w:rPr>
        <w:t>on or after April 1, 2021,</w:t>
      </w:r>
      <w:r w:rsidR="00EB76D1">
        <w:rPr>
          <w:rFonts w:ascii="Times New Roman" w:eastAsia="Times New Roman" w:hAnsi="Times New Roman"/>
          <w:color w:val="212121"/>
          <w:sz w:val="24"/>
          <w:szCs w:val="24"/>
          <w:lang w:val="en"/>
        </w:rPr>
        <w:t xml:space="preserve"> </w:t>
      </w:r>
      <w:r w:rsidRPr="00B843DB">
        <w:rPr>
          <w:rFonts w:ascii="Times New Roman" w:eastAsia="Times New Roman" w:hAnsi="Times New Roman"/>
          <w:color w:val="212121"/>
          <w:sz w:val="24"/>
          <w:szCs w:val="24"/>
          <w:lang w:val="en"/>
        </w:rPr>
        <w:t>by a</w:t>
      </w:r>
      <w:r w:rsidRPr="0091530E">
        <w:rPr>
          <w:rFonts w:ascii="Times New Roman" w:eastAsia="Times New Roman" w:hAnsi="Times New Roman"/>
          <w:color w:val="212121"/>
          <w:sz w:val="24"/>
          <w:szCs w:val="24"/>
          <w:lang w:val="en"/>
        </w:rPr>
        <w:t xml:space="preserve"> physician of documents sent to the physician in connection</w:t>
      </w:r>
      <w:r w:rsidRPr="00FA0DE6">
        <w:rPr>
          <w:rFonts w:ascii="Times New Roman" w:eastAsia="Times New Roman" w:hAnsi="Times New Roman"/>
          <w:color w:val="212121"/>
          <w:sz w:val="24"/>
          <w:szCs w:val="24"/>
          <w:lang w:val="en"/>
        </w:rPr>
        <w:t xml:space="preserve"> with a medical-legal evaluation or request for report. The documents may consist of medical records, legal transcripts, medical test results, and or other relevant documents. For purposes of record review, a page is defined as an 8 ½ by 11 single-sided document, </w:t>
      </w:r>
      <w:proofErr w:type="gramStart"/>
      <w:r w:rsidRPr="00FA0DE6">
        <w:rPr>
          <w:rFonts w:ascii="Times New Roman" w:eastAsia="Times New Roman" w:hAnsi="Times New Roman"/>
          <w:color w:val="212121"/>
          <w:sz w:val="24"/>
          <w:szCs w:val="24"/>
          <w:lang w:val="en"/>
        </w:rPr>
        <w:t>chart</w:t>
      </w:r>
      <w:proofErr w:type="gramEnd"/>
      <w:r w:rsidRPr="00FA0DE6">
        <w:rPr>
          <w:rFonts w:ascii="Times New Roman" w:eastAsia="Times New Roman" w:hAnsi="Times New Roman"/>
          <w:color w:val="212121"/>
          <w:sz w:val="24"/>
          <w:szCs w:val="24"/>
          <w:lang w:val="en"/>
        </w:rPr>
        <w:t xml:space="preserve"> or paper, whether in physical or electronic form. Multiple condensed pages or documents displayed on a single page shall be charged as </w:t>
      </w:r>
      <w:r w:rsidRPr="00CF1478">
        <w:rPr>
          <w:rFonts w:ascii="Times New Roman" w:eastAsia="Times New Roman" w:hAnsi="Times New Roman"/>
          <w:color w:val="212121"/>
          <w:sz w:val="24"/>
          <w:szCs w:val="24"/>
          <w:lang w:val="en"/>
        </w:rPr>
        <w:t xml:space="preserve">separate pages. Any documents sent to the physician for record review must be accompanied by a declaration under penalty of perjury that the </w:t>
      </w:r>
      <w:r w:rsidR="00CF1478" w:rsidRPr="00CF1478">
        <w:rPr>
          <w:rFonts w:ascii="Times New Roman" w:eastAsia="Times New Roman" w:hAnsi="Times New Roman"/>
          <w:color w:val="212121"/>
          <w:sz w:val="24"/>
          <w:szCs w:val="24"/>
          <w:highlight w:val="yellow"/>
          <w:u w:val="single"/>
          <w:lang w:val="en"/>
        </w:rPr>
        <w:t>entity providing</w:t>
      </w:r>
      <w:r w:rsidR="00CF1478" w:rsidRPr="00CF1478">
        <w:rPr>
          <w:rFonts w:ascii="Times New Roman" w:eastAsia="Times New Roman" w:hAnsi="Times New Roman"/>
          <w:color w:val="212121"/>
          <w:sz w:val="24"/>
          <w:szCs w:val="24"/>
          <w:highlight w:val="yellow"/>
          <w:lang w:val="en"/>
        </w:rPr>
        <w:t xml:space="preserve"> </w:t>
      </w:r>
      <w:r w:rsidRPr="00CF1478">
        <w:rPr>
          <w:rFonts w:ascii="Times New Roman" w:eastAsia="Times New Roman" w:hAnsi="Times New Roman"/>
          <w:strike/>
          <w:color w:val="212121"/>
          <w:sz w:val="24"/>
          <w:szCs w:val="24"/>
          <w:highlight w:val="yellow"/>
          <w:lang w:val="en"/>
        </w:rPr>
        <w:t>provider of</w:t>
      </w:r>
      <w:r w:rsidRPr="00CF1478">
        <w:rPr>
          <w:rFonts w:ascii="Times New Roman" w:eastAsia="Times New Roman" w:hAnsi="Times New Roman"/>
          <w:color w:val="212121"/>
          <w:sz w:val="24"/>
          <w:szCs w:val="24"/>
          <w:lang w:val="en"/>
        </w:rPr>
        <w:t xml:space="preserve"> the documents has complied with the provisions of Labor Code section 4062.3 before providing the documents to the physician. The declaration must also contain an attestation as to the total page count of the documents provided.</w:t>
      </w:r>
      <w:r w:rsidRPr="00EB76D1">
        <w:rPr>
          <w:rFonts w:ascii="Times New Roman" w:eastAsia="Times New Roman" w:hAnsi="Times New Roman"/>
          <w:color w:val="212121"/>
          <w:sz w:val="24"/>
          <w:szCs w:val="24"/>
          <w:lang w:val="en"/>
        </w:rPr>
        <w:t xml:space="preserve"> </w:t>
      </w:r>
      <w:r w:rsidR="00F77A8A" w:rsidRPr="00CF1478">
        <w:rPr>
          <w:rFonts w:ascii="Times New Roman" w:eastAsia="Times New Roman" w:hAnsi="Times New Roman"/>
          <w:color w:val="000000" w:themeColor="text1"/>
          <w:sz w:val="24"/>
          <w:szCs w:val="24"/>
          <w:highlight w:val="yellow"/>
          <w:u w:val="single"/>
          <w:lang w:val="en"/>
        </w:rPr>
        <w:t>This declaration may be signed electronically with a digital signature.</w:t>
      </w:r>
      <w:r w:rsidR="00F77A8A" w:rsidRPr="00CF1478">
        <w:rPr>
          <w:rFonts w:ascii="Times New Roman" w:eastAsia="Times New Roman" w:hAnsi="Times New Roman"/>
          <w:color w:val="000000" w:themeColor="text1"/>
          <w:sz w:val="24"/>
          <w:szCs w:val="24"/>
          <w:lang w:val="en"/>
        </w:rPr>
        <w:t xml:space="preserve"> </w:t>
      </w:r>
      <w:r w:rsidR="00CF1478">
        <w:rPr>
          <w:rFonts w:ascii="Times New Roman" w:eastAsia="Times New Roman" w:hAnsi="Times New Roman"/>
          <w:color w:val="000000" w:themeColor="text1"/>
          <w:sz w:val="24"/>
          <w:szCs w:val="24"/>
          <w:lang w:val="en"/>
        </w:rPr>
        <w:t xml:space="preserve"> </w:t>
      </w:r>
      <w:r w:rsidRPr="00CF1478">
        <w:rPr>
          <w:rFonts w:ascii="Times New Roman" w:eastAsia="Times New Roman" w:hAnsi="Times New Roman"/>
          <w:color w:val="000000" w:themeColor="text1"/>
          <w:sz w:val="24"/>
          <w:szCs w:val="24"/>
          <w:lang w:val="en"/>
        </w:rPr>
        <w:t xml:space="preserve">A physician </w:t>
      </w:r>
      <w:r w:rsidRPr="00EB76D1">
        <w:rPr>
          <w:rFonts w:ascii="Times New Roman" w:eastAsia="Times New Roman" w:hAnsi="Times New Roman"/>
          <w:color w:val="212121"/>
          <w:sz w:val="24"/>
          <w:szCs w:val="24"/>
          <w:lang w:val="en"/>
        </w:rPr>
        <w:t>may not bill for review of documents that are not provided with this accompanying required declaration from the document provider.</w:t>
      </w:r>
      <w:r w:rsidRPr="005047FA">
        <w:rPr>
          <w:rFonts w:ascii="Arial" w:hAnsi="Arial" w:cs="Arial"/>
          <w:u w:val="single"/>
        </w:rPr>
        <w:t xml:space="preserve"> </w:t>
      </w:r>
    </w:p>
    <w:p w14:paraId="418F8020" w14:textId="77777777" w:rsidR="007A2775" w:rsidRPr="007A2775" w:rsidRDefault="007A2775" w:rsidP="009F6788">
      <w:pPr>
        <w:spacing w:after="0" w:line="276" w:lineRule="auto"/>
        <w:rPr>
          <w:rFonts w:ascii="Times New Roman" w:hAnsi="Times New Roman"/>
          <w:b/>
          <w:sz w:val="24"/>
          <w:szCs w:val="24"/>
        </w:rPr>
      </w:pPr>
      <w:r w:rsidRPr="007A2775">
        <w:rPr>
          <w:rFonts w:ascii="Times New Roman" w:hAnsi="Times New Roman"/>
          <w:b/>
          <w:sz w:val="24"/>
          <w:szCs w:val="24"/>
        </w:rPr>
        <w:lastRenderedPageBreak/>
        <w:t>Discussion:</w:t>
      </w:r>
    </w:p>
    <w:p w14:paraId="3F489740" w14:textId="0030920F" w:rsidR="00EB76D1" w:rsidRDefault="007A2775" w:rsidP="00BD3723">
      <w:pPr>
        <w:shd w:val="clear" w:color="auto" w:fill="FFFFFF"/>
        <w:rPr>
          <w:rFonts w:ascii="Times New Roman" w:eastAsia="Times New Roman" w:hAnsi="Times New Roman"/>
          <w:bCs/>
          <w:i/>
          <w:iCs/>
          <w:color w:val="252525"/>
          <w:sz w:val="24"/>
          <w:szCs w:val="24"/>
          <w:lang w:val="en"/>
        </w:rPr>
      </w:pPr>
      <w:r w:rsidRPr="007A2775">
        <w:rPr>
          <w:rFonts w:ascii="Times New Roman" w:eastAsia="Times New Roman" w:hAnsi="Times New Roman"/>
          <w:bCs/>
          <w:i/>
          <w:iCs/>
          <w:color w:val="252525"/>
          <w:sz w:val="24"/>
          <w:szCs w:val="24"/>
          <w:lang w:val="en"/>
        </w:rPr>
        <w:t>A longstanding concern has been the utilization of the medical-legal fee structure by treating physicians</w:t>
      </w:r>
      <w:r>
        <w:rPr>
          <w:rFonts w:ascii="Times New Roman" w:eastAsia="Times New Roman" w:hAnsi="Times New Roman"/>
          <w:bCs/>
          <w:i/>
          <w:iCs/>
          <w:color w:val="252525"/>
          <w:sz w:val="24"/>
          <w:szCs w:val="24"/>
          <w:lang w:val="en"/>
        </w:rPr>
        <w:t xml:space="preserve">.  A regulatory limitation is needed to curtail this practice </w:t>
      </w:r>
      <w:proofErr w:type="gramStart"/>
      <w:r>
        <w:rPr>
          <w:rFonts w:ascii="Times New Roman" w:eastAsia="Times New Roman" w:hAnsi="Times New Roman"/>
          <w:bCs/>
          <w:i/>
          <w:iCs/>
          <w:color w:val="252525"/>
          <w:sz w:val="24"/>
          <w:szCs w:val="24"/>
          <w:lang w:val="en"/>
        </w:rPr>
        <w:t>in order to</w:t>
      </w:r>
      <w:proofErr w:type="gramEnd"/>
      <w:r>
        <w:rPr>
          <w:rFonts w:ascii="Times New Roman" w:eastAsia="Times New Roman" w:hAnsi="Times New Roman"/>
          <w:bCs/>
          <w:i/>
          <w:iCs/>
          <w:color w:val="252525"/>
          <w:sz w:val="24"/>
          <w:szCs w:val="24"/>
          <w:lang w:val="en"/>
        </w:rPr>
        <w:t xml:space="preserve"> avoid disputes as to whether a</w:t>
      </w:r>
      <w:r w:rsidR="00CD1DE6">
        <w:rPr>
          <w:rFonts w:ascii="Times New Roman" w:eastAsia="Times New Roman" w:hAnsi="Times New Roman"/>
          <w:bCs/>
          <w:i/>
          <w:iCs/>
          <w:color w:val="252525"/>
          <w:sz w:val="24"/>
          <w:szCs w:val="24"/>
          <w:lang w:val="en"/>
        </w:rPr>
        <w:t xml:space="preserve"> treating physician’s</w:t>
      </w:r>
      <w:r>
        <w:rPr>
          <w:rFonts w:ascii="Times New Roman" w:eastAsia="Times New Roman" w:hAnsi="Times New Roman"/>
          <w:bCs/>
          <w:i/>
          <w:iCs/>
          <w:color w:val="252525"/>
          <w:sz w:val="24"/>
          <w:szCs w:val="24"/>
          <w:lang w:val="en"/>
        </w:rPr>
        <w:t xml:space="preserve"> report is medical-legal in nature.  Accordingly, the Institute suggests new language that provides clarity to treating physicians wishing to bill for their services under the Medical-Legal Fee Schedule</w:t>
      </w:r>
      <w:r w:rsidR="006E11BB">
        <w:rPr>
          <w:rFonts w:ascii="Times New Roman" w:eastAsia="Times New Roman" w:hAnsi="Times New Roman"/>
          <w:bCs/>
          <w:i/>
          <w:iCs/>
          <w:color w:val="252525"/>
          <w:sz w:val="24"/>
          <w:szCs w:val="24"/>
          <w:lang w:val="en"/>
        </w:rPr>
        <w:t xml:space="preserve"> when a medical-legal report was not requested</w:t>
      </w:r>
      <w:r>
        <w:rPr>
          <w:rFonts w:ascii="Times New Roman" w:eastAsia="Times New Roman" w:hAnsi="Times New Roman"/>
          <w:bCs/>
          <w:i/>
          <w:iCs/>
          <w:color w:val="252525"/>
          <w:sz w:val="24"/>
          <w:szCs w:val="24"/>
          <w:lang w:val="en"/>
        </w:rPr>
        <w:t xml:space="preserve">.  </w:t>
      </w:r>
    </w:p>
    <w:p w14:paraId="62600C5C" w14:textId="7A2010F3" w:rsidR="00CF1478" w:rsidRDefault="00CF1478" w:rsidP="00BD3723">
      <w:pPr>
        <w:shd w:val="clear" w:color="auto" w:fill="FFFFFF"/>
        <w:rPr>
          <w:rFonts w:ascii="Times New Roman" w:eastAsia="Times New Roman" w:hAnsi="Times New Roman"/>
          <w:bCs/>
          <w:i/>
          <w:iCs/>
          <w:color w:val="252525"/>
          <w:sz w:val="24"/>
          <w:szCs w:val="24"/>
          <w:lang w:val="en"/>
        </w:rPr>
      </w:pPr>
      <w:r>
        <w:rPr>
          <w:rFonts w:ascii="Times New Roman" w:eastAsia="Times New Roman" w:hAnsi="Times New Roman"/>
          <w:bCs/>
          <w:i/>
          <w:iCs/>
          <w:color w:val="252525"/>
          <w:sz w:val="24"/>
          <w:szCs w:val="24"/>
          <w:lang w:val="en"/>
        </w:rPr>
        <w:t xml:space="preserve">The proposed regulations require a </w:t>
      </w:r>
      <w:r w:rsidR="00041190">
        <w:rPr>
          <w:rFonts w:ascii="Times New Roman" w:eastAsia="Times New Roman" w:hAnsi="Times New Roman"/>
          <w:bCs/>
          <w:i/>
          <w:iCs/>
          <w:color w:val="252525"/>
          <w:sz w:val="24"/>
          <w:szCs w:val="24"/>
          <w:lang w:val="en"/>
        </w:rPr>
        <w:t>declaration</w:t>
      </w:r>
      <w:r>
        <w:rPr>
          <w:rFonts w:ascii="Times New Roman" w:eastAsia="Times New Roman" w:hAnsi="Times New Roman"/>
          <w:bCs/>
          <w:i/>
          <w:iCs/>
          <w:color w:val="252525"/>
          <w:sz w:val="24"/>
          <w:szCs w:val="24"/>
          <w:lang w:val="en"/>
        </w:rPr>
        <w:t xml:space="preserve"> of compliance with Labor Code section 4062.3 as well as </w:t>
      </w:r>
      <w:r w:rsidR="00041190">
        <w:rPr>
          <w:rFonts w:ascii="Times New Roman" w:eastAsia="Times New Roman" w:hAnsi="Times New Roman"/>
          <w:bCs/>
          <w:i/>
          <w:iCs/>
          <w:color w:val="252525"/>
          <w:sz w:val="24"/>
          <w:szCs w:val="24"/>
          <w:lang w:val="en"/>
        </w:rPr>
        <w:t>attestation</w:t>
      </w:r>
      <w:r>
        <w:rPr>
          <w:rFonts w:ascii="Times New Roman" w:eastAsia="Times New Roman" w:hAnsi="Times New Roman"/>
          <w:bCs/>
          <w:i/>
          <w:iCs/>
          <w:color w:val="252525"/>
          <w:sz w:val="24"/>
          <w:szCs w:val="24"/>
          <w:lang w:val="en"/>
        </w:rPr>
        <w:t xml:space="preserve"> of the total page count of records being provided to the QME.  In most instances, </w:t>
      </w:r>
      <w:r w:rsidR="00BB0B87">
        <w:rPr>
          <w:rFonts w:ascii="Times New Roman" w:eastAsia="Times New Roman" w:hAnsi="Times New Roman"/>
          <w:bCs/>
          <w:i/>
          <w:iCs/>
          <w:color w:val="252525"/>
          <w:sz w:val="24"/>
          <w:szCs w:val="24"/>
          <w:lang w:val="en"/>
        </w:rPr>
        <w:t xml:space="preserve">however, </w:t>
      </w:r>
      <w:r>
        <w:rPr>
          <w:rFonts w:ascii="Times New Roman" w:eastAsia="Times New Roman" w:hAnsi="Times New Roman"/>
          <w:bCs/>
          <w:i/>
          <w:iCs/>
          <w:color w:val="252525"/>
          <w:sz w:val="24"/>
          <w:szCs w:val="24"/>
          <w:lang w:val="en"/>
        </w:rPr>
        <w:t xml:space="preserve">the claims administrator will not submit documents directly from the claims file but instead will request that their copy service make direct service of records to the evaluator.  Under these circumstances, it will be necessary for the Division to clarify which entity (the claims administrator or the copy service) is charged with the obligation to submit the </w:t>
      </w:r>
      <w:r w:rsidR="00041190">
        <w:rPr>
          <w:rFonts w:ascii="Times New Roman" w:eastAsia="Times New Roman" w:hAnsi="Times New Roman"/>
          <w:bCs/>
          <w:i/>
          <w:iCs/>
          <w:color w:val="252525"/>
          <w:sz w:val="24"/>
          <w:szCs w:val="24"/>
          <w:lang w:val="en"/>
        </w:rPr>
        <w:t>declaration</w:t>
      </w:r>
      <w:r>
        <w:rPr>
          <w:rFonts w:ascii="Times New Roman" w:eastAsia="Times New Roman" w:hAnsi="Times New Roman"/>
          <w:bCs/>
          <w:i/>
          <w:iCs/>
          <w:color w:val="252525"/>
          <w:sz w:val="24"/>
          <w:szCs w:val="24"/>
          <w:lang w:val="en"/>
        </w:rPr>
        <w:t xml:space="preserve">. </w:t>
      </w:r>
      <w:r w:rsidR="00BB0B87">
        <w:rPr>
          <w:rFonts w:ascii="Times New Roman" w:eastAsia="Times New Roman" w:hAnsi="Times New Roman"/>
          <w:bCs/>
          <w:i/>
          <w:iCs/>
          <w:color w:val="252525"/>
          <w:sz w:val="24"/>
          <w:szCs w:val="24"/>
          <w:lang w:val="en"/>
        </w:rPr>
        <w:t xml:space="preserve"> Of course,</w:t>
      </w:r>
      <w:r>
        <w:rPr>
          <w:rFonts w:ascii="Times New Roman" w:eastAsia="Times New Roman" w:hAnsi="Times New Roman"/>
          <w:bCs/>
          <w:i/>
          <w:iCs/>
          <w:color w:val="252525"/>
          <w:sz w:val="24"/>
          <w:szCs w:val="24"/>
          <w:lang w:val="en"/>
        </w:rPr>
        <w:t xml:space="preserve"> the copy service will not have engaged in the meet and confer requirements of section 4062.3.  Accordingly, a solution could be to </w:t>
      </w:r>
      <w:r w:rsidR="00BB0B87">
        <w:rPr>
          <w:rFonts w:ascii="Times New Roman" w:eastAsia="Times New Roman" w:hAnsi="Times New Roman"/>
          <w:bCs/>
          <w:i/>
          <w:iCs/>
          <w:color w:val="252525"/>
          <w:sz w:val="24"/>
          <w:szCs w:val="24"/>
          <w:lang w:val="en"/>
        </w:rPr>
        <w:t xml:space="preserve">require the claims administrator to comply with section 4062.3, submit the appropriate </w:t>
      </w:r>
      <w:r w:rsidR="00041190">
        <w:rPr>
          <w:rFonts w:ascii="Times New Roman" w:eastAsia="Times New Roman" w:hAnsi="Times New Roman"/>
          <w:bCs/>
          <w:i/>
          <w:iCs/>
          <w:color w:val="252525"/>
          <w:sz w:val="24"/>
          <w:szCs w:val="24"/>
          <w:lang w:val="en"/>
        </w:rPr>
        <w:t>declaration</w:t>
      </w:r>
      <w:r w:rsidR="00BB0B87">
        <w:rPr>
          <w:rFonts w:ascii="Times New Roman" w:eastAsia="Times New Roman" w:hAnsi="Times New Roman"/>
          <w:bCs/>
          <w:i/>
          <w:iCs/>
          <w:color w:val="252525"/>
          <w:sz w:val="24"/>
          <w:szCs w:val="24"/>
          <w:lang w:val="en"/>
        </w:rPr>
        <w:t>, and then have the copy service attest only to the page count of the records in question.</w:t>
      </w:r>
    </w:p>
    <w:p w14:paraId="6251C39F" w14:textId="57CE92D4" w:rsidR="00F77A8A" w:rsidRPr="000B4C6F" w:rsidRDefault="000B4C6F" w:rsidP="00BD3723">
      <w:pPr>
        <w:shd w:val="clear" w:color="auto" w:fill="FFFFFF"/>
        <w:rPr>
          <w:rFonts w:ascii="Times New Roman" w:eastAsia="Times New Roman" w:hAnsi="Times New Roman"/>
          <w:bCs/>
          <w:i/>
          <w:iCs/>
          <w:sz w:val="24"/>
          <w:szCs w:val="24"/>
          <w:lang w:val="en"/>
        </w:rPr>
      </w:pPr>
      <w:r>
        <w:rPr>
          <w:rFonts w:ascii="Times New Roman" w:eastAsia="Times New Roman" w:hAnsi="Times New Roman"/>
          <w:i/>
          <w:iCs/>
          <w:sz w:val="24"/>
          <w:szCs w:val="24"/>
        </w:rPr>
        <w:t>T</w:t>
      </w:r>
      <w:r w:rsidR="00F77A8A" w:rsidRPr="000B4C6F">
        <w:rPr>
          <w:rFonts w:ascii="Times New Roman" w:eastAsia="Times New Roman" w:hAnsi="Times New Roman"/>
          <w:i/>
          <w:iCs/>
          <w:sz w:val="24"/>
          <w:szCs w:val="24"/>
        </w:rPr>
        <w:t xml:space="preserve">he Institute suggests that language be added to permit the </w:t>
      </w:r>
      <w:r w:rsidR="00BB0B87">
        <w:rPr>
          <w:rFonts w:ascii="Times New Roman" w:eastAsia="Times New Roman" w:hAnsi="Times New Roman"/>
          <w:i/>
          <w:iCs/>
          <w:sz w:val="24"/>
          <w:szCs w:val="24"/>
        </w:rPr>
        <w:t xml:space="preserve">signed </w:t>
      </w:r>
      <w:r w:rsidR="00041190">
        <w:rPr>
          <w:rFonts w:ascii="Times New Roman" w:eastAsia="Times New Roman" w:hAnsi="Times New Roman"/>
          <w:i/>
          <w:iCs/>
          <w:sz w:val="24"/>
          <w:szCs w:val="24"/>
        </w:rPr>
        <w:t>declaration</w:t>
      </w:r>
      <w:r w:rsidR="00F77A8A" w:rsidRPr="000B4C6F">
        <w:rPr>
          <w:rFonts w:ascii="Times New Roman" w:eastAsia="Times New Roman" w:hAnsi="Times New Roman"/>
          <w:i/>
          <w:iCs/>
          <w:sz w:val="24"/>
          <w:szCs w:val="24"/>
        </w:rPr>
        <w:t xml:space="preserve"> required under this subsection to be made electronically</w:t>
      </w:r>
      <w:r w:rsidR="00BB0B87">
        <w:rPr>
          <w:rFonts w:ascii="Times New Roman" w:eastAsia="Times New Roman" w:hAnsi="Times New Roman"/>
          <w:i/>
          <w:iCs/>
          <w:sz w:val="24"/>
          <w:szCs w:val="24"/>
        </w:rPr>
        <w:t>.</w:t>
      </w:r>
    </w:p>
    <w:p w14:paraId="5E201F20" w14:textId="67419051" w:rsidR="00EB76D1" w:rsidRDefault="007A6E23" w:rsidP="00BD3723">
      <w:pPr>
        <w:shd w:val="clear" w:color="auto" w:fill="FFFFFF"/>
        <w:rPr>
          <w:rFonts w:ascii="Times New Roman" w:eastAsia="Times New Roman" w:hAnsi="Times New Roman"/>
          <w:bCs/>
          <w:i/>
          <w:iCs/>
          <w:color w:val="252525"/>
          <w:sz w:val="24"/>
          <w:szCs w:val="24"/>
          <w:lang w:val="en"/>
        </w:rPr>
      </w:pPr>
      <w:r>
        <w:rPr>
          <w:rFonts w:ascii="Times New Roman" w:eastAsia="Times New Roman" w:hAnsi="Times New Roman"/>
          <w:bCs/>
          <w:i/>
          <w:iCs/>
          <w:color w:val="252525"/>
          <w:sz w:val="24"/>
          <w:szCs w:val="24"/>
          <w:lang w:val="en"/>
        </w:rPr>
        <w:t>The Institute</w:t>
      </w:r>
      <w:r w:rsidR="00EB76D1">
        <w:rPr>
          <w:rFonts w:ascii="Times New Roman" w:eastAsia="Times New Roman" w:hAnsi="Times New Roman"/>
          <w:bCs/>
          <w:i/>
          <w:iCs/>
          <w:color w:val="252525"/>
          <w:sz w:val="24"/>
          <w:szCs w:val="24"/>
          <w:lang w:val="en"/>
        </w:rPr>
        <w:t xml:space="preserve"> strongly</w:t>
      </w:r>
      <w:r>
        <w:rPr>
          <w:rFonts w:ascii="Times New Roman" w:eastAsia="Times New Roman" w:hAnsi="Times New Roman"/>
          <w:bCs/>
          <w:i/>
          <w:iCs/>
          <w:color w:val="252525"/>
          <w:sz w:val="24"/>
          <w:szCs w:val="24"/>
          <w:lang w:val="en"/>
        </w:rPr>
        <w:t xml:space="preserve"> recommends the addition of </w:t>
      </w:r>
      <w:r w:rsidR="00EB76D1">
        <w:rPr>
          <w:rFonts w:ascii="Times New Roman" w:eastAsia="Times New Roman" w:hAnsi="Times New Roman"/>
          <w:bCs/>
          <w:i/>
          <w:iCs/>
          <w:color w:val="252525"/>
          <w:sz w:val="24"/>
          <w:szCs w:val="24"/>
          <w:lang w:val="en"/>
        </w:rPr>
        <w:t xml:space="preserve">language in subsections (g), (l), and (n) to make clear that the amended definitions apply only to dates on or after the effective date of these rules. </w:t>
      </w:r>
    </w:p>
    <w:p w14:paraId="2DD4B1E7" w14:textId="77777777" w:rsidR="003B2199" w:rsidRDefault="003B2199" w:rsidP="00BB1759">
      <w:pPr>
        <w:shd w:val="clear" w:color="auto" w:fill="FFFFFF"/>
        <w:rPr>
          <w:rFonts w:ascii="Times New Roman" w:eastAsia="Times New Roman" w:hAnsi="Times New Roman"/>
          <w:b/>
          <w:color w:val="252525"/>
          <w:sz w:val="24"/>
          <w:szCs w:val="24"/>
          <w:lang w:val="en"/>
        </w:rPr>
      </w:pPr>
    </w:p>
    <w:p w14:paraId="12F7A4D7" w14:textId="2F7EB0DE" w:rsidR="00BB1759" w:rsidRPr="007A2775" w:rsidRDefault="00BB1759" w:rsidP="00BB1759">
      <w:pPr>
        <w:shd w:val="clear" w:color="auto" w:fill="FFFFFF"/>
        <w:rPr>
          <w:rFonts w:ascii="Times New Roman" w:eastAsia="Times New Roman" w:hAnsi="Times New Roman"/>
          <w:b/>
          <w:color w:val="252525"/>
          <w:sz w:val="24"/>
          <w:szCs w:val="24"/>
          <w:u w:val="single"/>
          <w:lang w:val="en"/>
        </w:rPr>
      </w:pPr>
      <w:r w:rsidRPr="007A2775">
        <w:rPr>
          <w:rFonts w:ascii="Times New Roman" w:eastAsia="Times New Roman" w:hAnsi="Times New Roman"/>
          <w:b/>
          <w:color w:val="252525"/>
          <w:sz w:val="24"/>
          <w:szCs w:val="24"/>
          <w:lang w:val="en"/>
        </w:rPr>
        <w:t>§ 9795</w:t>
      </w:r>
      <w:r w:rsidR="00303FEA">
        <w:rPr>
          <w:rFonts w:ascii="Times New Roman" w:eastAsia="Times New Roman" w:hAnsi="Times New Roman"/>
          <w:b/>
          <w:color w:val="252525"/>
          <w:sz w:val="24"/>
          <w:szCs w:val="24"/>
          <w:lang w:val="en"/>
        </w:rPr>
        <w:t>:</w:t>
      </w:r>
      <w:r w:rsidRPr="007A2775">
        <w:rPr>
          <w:rFonts w:ascii="Times New Roman" w:eastAsia="Times New Roman" w:hAnsi="Times New Roman"/>
          <w:b/>
          <w:color w:val="252525"/>
          <w:sz w:val="24"/>
          <w:szCs w:val="24"/>
          <w:lang w:val="en"/>
        </w:rPr>
        <w:t xml:space="preserve"> Reasonable Level of Fees for Medical-Legal Expenses, Follow-up, Supplemental and Comprehensive Medical-Legal Evaluations and Medical-Legal Testimony</w:t>
      </w:r>
      <w:r w:rsidR="00160446">
        <w:rPr>
          <w:rFonts w:ascii="Times New Roman" w:eastAsia="Times New Roman" w:hAnsi="Times New Roman"/>
          <w:b/>
          <w:color w:val="252525"/>
          <w:sz w:val="24"/>
          <w:szCs w:val="24"/>
          <w:lang w:val="en"/>
        </w:rPr>
        <w:t>.</w:t>
      </w:r>
      <w:r w:rsidR="00C54326" w:rsidRPr="007A2775">
        <w:rPr>
          <w:rFonts w:ascii="Times New Roman" w:eastAsia="Times New Roman" w:hAnsi="Times New Roman"/>
          <w:b/>
          <w:color w:val="252525"/>
          <w:sz w:val="24"/>
          <w:szCs w:val="24"/>
          <w:lang w:val="en"/>
        </w:rPr>
        <w:t xml:space="preserve"> </w:t>
      </w:r>
    </w:p>
    <w:p w14:paraId="444AF9D3" w14:textId="1E9ED63F" w:rsidR="00BB1759" w:rsidRDefault="00BB1759" w:rsidP="00F57F86">
      <w:pPr>
        <w:shd w:val="clear" w:color="auto" w:fill="FFFFFF"/>
        <w:spacing w:line="288" w:lineRule="atLeast"/>
        <w:rPr>
          <w:rFonts w:ascii="Times New Roman" w:eastAsia="Times New Roman" w:hAnsi="Times New Roman"/>
          <w:strike/>
          <w:sz w:val="24"/>
          <w:szCs w:val="24"/>
          <w:lang w:val="en"/>
        </w:rPr>
      </w:pPr>
      <w:r w:rsidRPr="00BF7D23">
        <w:rPr>
          <w:rFonts w:ascii="Times New Roman" w:eastAsia="Times New Roman" w:hAnsi="Times New Roman"/>
          <w:sz w:val="24"/>
          <w:szCs w:val="24"/>
          <w:lang w:val="en"/>
        </w:rPr>
        <w:t xml:space="preserve">(b) The fee for each evaluation is calculated by multiplying the relative value by </w:t>
      </w:r>
      <w:r w:rsidR="0052638F" w:rsidRPr="0052638F">
        <w:rPr>
          <w:rFonts w:ascii="Times New Roman" w:eastAsia="Times New Roman" w:hAnsi="Times New Roman"/>
          <w:sz w:val="24"/>
          <w:szCs w:val="24"/>
          <w:highlight w:val="yellow"/>
          <w:u w:val="single"/>
          <w:lang w:val="en"/>
        </w:rPr>
        <w:t xml:space="preserve">$12.50 for </w:t>
      </w:r>
      <w:r w:rsidR="0052638F">
        <w:rPr>
          <w:rFonts w:ascii="Times New Roman" w:eastAsia="Times New Roman" w:hAnsi="Times New Roman"/>
          <w:sz w:val="24"/>
          <w:szCs w:val="24"/>
          <w:highlight w:val="yellow"/>
          <w:u w:val="single"/>
          <w:lang w:val="en"/>
        </w:rPr>
        <w:t>medical-legal evaluation procedures</w:t>
      </w:r>
      <w:r w:rsidR="0052638F" w:rsidRPr="0052638F">
        <w:rPr>
          <w:rFonts w:ascii="Times New Roman" w:eastAsia="Times New Roman" w:hAnsi="Times New Roman"/>
          <w:sz w:val="24"/>
          <w:szCs w:val="24"/>
          <w:highlight w:val="yellow"/>
          <w:u w:val="single"/>
          <w:lang w:val="en"/>
        </w:rPr>
        <w:t xml:space="preserve"> conducted prior to April 1, 2021, or </w:t>
      </w:r>
      <w:r w:rsidR="00FE3717" w:rsidRPr="0052638F">
        <w:rPr>
          <w:rFonts w:ascii="Times New Roman" w:eastAsia="Times New Roman" w:hAnsi="Times New Roman"/>
          <w:sz w:val="24"/>
          <w:szCs w:val="24"/>
          <w:lang w:val="en"/>
        </w:rPr>
        <w:t>$16.25</w:t>
      </w:r>
      <w:r w:rsidR="0052638F">
        <w:rPr>
          <w:rFonts w:ascii="Times New Roman" w:eastAsia="Times New Roman" w:hAnsi="Times New Roman"/>
          <w:sz w:val="24"/>
          <w:szCs w:val="24"/>
          <w:highlight w:val="yellow"/>
          <w:u w:val="single"/>
          <w:lang w:val="en"/>
        </w:rPr>
        <w:t xml:space="preserve"> f</w:t>
      </w:r>
      <w:r w:rsidR="0052638F" w:rsidRPr="0052638F">
        <w:rPr>
          <w:rFonts w:ascii="Times New Roman" w:eastAsia="Times New Roman" w:hAnsi="Times New Roman"/>
          <w:sz w:val="24"/>
          <w:szCs w:val="24"/>
          <w:highlight w:val="yellow"/>
          <w:u w:val="single"/>
          <w:lang w:val="en"/>
        </w:rPr>
        <w:t xml:space="preserve">or medical-legal </w:t>
      </w:r>
      <w:r w:rsidR="0052638F">
        <w:rPr>
          <w:rFonts w:ascii="Times New Roman" w:eastAsia="Times New Roman" w:hAnsi="Times New Roman"/>
          <w:sz w:val="24"/>
          <w:szCs w:val="24"/>
          <w:highlight w:val="yellow"/>
          <w:u w:val="single"/>
          <w:lang w:val="en"/>
        </w:rPr>
        <w:t>evaluation</w:t>
      </w:r>
      <w:r w:rsidR="0052638F" w:rsidRPr="0052638F">
        <w:rPr>
          <w:rFonts w:ascii="Times New Roman" w:eastAsia="Times New Roman" w:hAnsi="Times New Roman"/>
          <w:sz w:val="24"/>
          <w:szCs w:val="24"/>
          <w:highlight w:val="yellow"/>
          <w:u w:val="single"/>
          <w:lang w:val="en"/>
        </w:rPr>
        <w:t xml:space="preserve"> </w:t>
      </w:r>
      <w:r w:rsidR="0052638F">
        <w:rPr>
          <w:rFonts w:ascii="Times New Roman" w:eastAsia="Times New Roman" w:hAnsi="Times New Roman"/>
          <w:sz w:val="24"/>
          <w:szCs w:val="24"/>
          <w:highlight w:val="yellow"/>
          <w:u w:val="single"/>
          <w:lang w:val="en"/>
        </w:rPr>
        <w:t>procedures conducted</w:t>
      </w:r>
      <w:r w:rsidR="0052638F" w:rsidRPr="0052638F">
        <w:rPr>
          <w:rFonts w:ascii="Times New Roman" w:eastAsia="Times New Roman" w:hAnsi="Times New Roman"/>
          <w:sz w:val="24"/>
          <w:szCs w:val="24"/>
          <w:highlight w:val="yellow"/>
          <w:u w:val="single"/>
          <w:lang w:val="en"/>
        </w:rPr>
        <w:t xml:space="preserve"> on or after </w:t>
      </w:r>
      <w:proofErr w:type="gramStart"/>
      <w:r w:rsidR="0052638F" w:rsidRPr="0052638F">
        <w:rPr>
          <w:rFonts w:ascii="Times New Roman" w:eastAsia="Times New Roman" w:hAnsi="Times New Roman"/>
          <w:sz w:val="24"/>
          <w:szCs w:val="24"/>
          <w:highlight w:val="yellow"/>
          <w:u w:val="single"/>
          <w:lang w:val="en"/>
        </w:rPr>
        <w:t>April 1, 2021</w:t>
      </w:r>
      <w:r w:rsidR="0052638F" w:rsidRPr="0052638F">
        <w:rPr>
          <w:rFonts w:ascii="Times New Roman" w:eastAsia="Times New Roman" w:hAnsi="Times New Roman"/>
          <w:sz w:val="24"/>
          <w:szCs w:val="24"/>
          <w:lang w:val="en"/>
        </w:rPr>
        <w:t xml:space="preserve">, </w:t>
      </w:r>
      <w:r w:rsidR="00FE3717" w:rsidRPr="0050353A">
        <w:rPr>
          <w:rFonts w:ascii="Times New Roman" w:eastAsia="Times New Roman" w:hAnsi="Times New Roman"/>
          <w:sz w:val="24"/>
          <w:szCs w:val="24"/>
          <w:lang w:val="en"/>
        </w:rPr>
        <w:t>and</w:t>
      </w:r>
      <w:proofErr w:type="gramEnd"/>
      <w:r w:rsidRPr="00BF7D23">
        <w:rPr>
          <w:rFonts w:ascii="Times New Roman" w:eastAsia="Times New Roman" w:hAnsi="Times New Roman"/>
          <w:sz w:val="24"/>
          <w:szCs w:val="24"/>
          <w:lang w:val="en"/>
        </w:rPr>
        <w:t xml:space="preserve">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w:t>
      </w:r>
      <w:r w:rsidR="0052638F" w:rsidRPr="0052638F">
        <w:rPr>
          <w:rFonts w:ascii="Times New Roman" w:eastAsia="Times New Roman" w:hAnsi="Times New Roman"/>
          <w:sz w:val="24"/>
          <w:szCs w:val="24"/>
          <w:highlight w:val="yellow"/>
          <w:u w:val="single"/>
          <w:lang w:val="en"/>
        </w:rPr>
        <w:t xml:space="preserve">For services conducted prior to April 1, 2021, </w:t>
      </w:r>
      <w:proofErr w:type="spellStart"/>
      <w:r w:rsidR="0052638F" w:rsidRPr="0052638F">
        <w:rPr>
          <w:rFonts w:ascii="Times New Roman" w:eastAsia="Times New Roman" w:hAnsi="Times New Roman"/>
          <w:sz w:val="24"/>
          <w:szCs w:val="24"/>
          <w:highlight w:val="yellow"/>
          <w:u w:val="single"/>
          <w:lang w:val="en"/>
        </w:rPr>
        <w:t>t</w:t>
      </w:r>
      <w:r w:rsidR="0052638F" w:rsidRPr="0052638F">
        <w:rPr>
          <w:rFonts w:ascii="Times New Roman" w:eastAsia="Times New Roman" w:hAnsi="Times New Roman"/>
          <w:strike/>
          <w:sz w:val="24"/>
          <w:szCs w:val="24"/>
          <w:highlight w:val="yellow"/>
          <w:u w:val="single"/>
          <w:lang w:val="en"/>
        </w:rPr>
        <w:t>T</w:t>
      </w:r>
      <w:r w:rsidRPr="0052638F">
        <w:rPr>
          <w:rFonts w:ascii="Times New Roman" w:eastAsia="Times New Roman" w:hAnsi="Times New Roman"/>
          <w:sz w:val="24"/>
          <w:szCs w:val="24"/>
          <w:lang w:val="en"/>
        </w:rPr>
        <w:t>he</w:t>
      </w:r>
      <w:proofErr w:type="spellEnd"/>
      <w:r w:rsidRPr="0052638F">
        <w:rPr>
          <w:rFonts w:ascii="Times New Roman" w:eastAsia="Times New Roman" w:hAnsi="Times New Roman"/>
          <w:sz w:val="24"/>
          <w:szCs w:val="24"/>
          <w:lang w:val="en"/>
        </w:rPr>
        <w:t xml:space="preserve"> complexity of the evaluation is the dominant factor determining the appropriate level of service under this section; the time</w:t>
      </w:r>
      <w:r w:rsidRPr="00540157">
        <w:rPr>
          <w:rFonts w:ascii="Times New Roman" w:eastAsia="Times New Roman" w:hAnsi="Times New Roman"/>
          <w:strike/>
          <w:sz w:val="24"/>
          <w:szCs w:val="24"/>
          <w:highlight w:val="yellow"/>
          <w:lang w:val="en"/>
        </w:rPr>
        <w:t>s</w:t>
      </w:r>
      <w:r w:rsidRPr="0052638F">
        <w:rPr>
          <w:rFonts w:ascii="Times New Roman" w:eastAsia="Times New Roman" w:hAnsi="Times New Roman"/>
          <w:sz w:val="24"/>
          <w:szCs w:val="24"/>
          <w:lang w:val="en"/>
        </w:rPr>
        <w:t xml:space="preserve"> to perform procedures </w:t>
      </w:r>
      <w:r w:rsidRPr="00540157">
        <w:rPr>
          <w:rFonts w:ascii="Times New Roman" w:eastAsia="Times New Roman" w:hAnsi="Times New Roman"/>
          <w:sz w:val="24"/>
          <w:szCs w:val="24"/>
          <w:lang w:val="en"/>
        </w:rPr>
        <w:t>is</w:t>
      </w:r>
      <w:r w:rsidRPr="0052638F">
        <w:rPr>
          <w:rFonts w:ascii="Times New Roman" w:eastAsia="Times New Roman" w:hAnsi="Times New Roman"/>
          <w:sz w:val="24"/>
          <w:szCs w:val="24"/>
          <w:lang w:val="en"/>
        </w:rPr>
        <w:t xml:space="preserve"> expected to vary due to clinical </w:t>
      </w:r>
      <w:proofErr w:type="gramStart"/>
      <w:r w:rsidRPr="0052638F">
        <w:rPr>
          <w:rFonts w:ascii="Times New Roman" w:eastAsia="Times New Roman" w:hAnsi="Times New Roman"/>
          <w:sz w:val="24"/>
          <w:szCs w:val="24"/>
          <w:lang w:val="en"/>
        </w:rPr>
        <w:t>circumstances, and</w:t>
      </w:r>
      <w:proofErr w:type="gramEnd"/>
      <w:r w:rsidRPr="0052638F">
        <w:rPr>
          <w:rFonts w:ascii="Times New Roman" w:eastAsia="Times New Roman" w:hAnsi="Times New Roman"/>
          <w:sz w:val="24"/>
          <w:szCs w:val="24"/>
          <w:lang w:val="en"/>
        </w:rPr>
        <w:t xml:space="preserve"> is therefore not the controlling factor in determining the appropriate level of service.</w:t>
      </w:r>
    </w:p>
    <w:p w14:paraId="1D8C182F" w14:textId="77777777" w:rsidR="00F57F86" w:rsidRPr="00AA23F4" w:rsidRDefault="00F57F86" w:rsidP="009F6788">
      <w:pPr>
        <w:spacing w:after="0" w:line="276" w:lineRule="auto"/>
        <w:rPr>
          <w:rFonts w:ascii="Times New Roman" w:hAnsi="Times New Roman"/>
          <w:b/>
          <w:sz w:val="24"/>
          <w:szCs w:val="24"/>
        </w:rPr>
      </w:pPr>
      <w:r w:rsidRPr="00AA23F4">
        <w:rPr>
          <w:rFonts w:ascii="Times New Roman" w:hAnsi="Times New Roman"/>
          <w:b/>
          <w:sz w:val="24"/>
          <w:szCs w:val="24"/>
        </w:rPr>
        <w:t>Discussion:</w:t>
      </w:r>
    </w:p>
    <w:p w14:paraId="010AA6E4" w14:textId="50865427" w:rsidR="00F57F86" w:rsidRPr="00701558" w:rsidRDefault="00701558" w:rsidP="00701558">
      <w:pPr>
        <w:shd w:val="clear" w:color="auto" w:fill="FFFFFF"/>
        <w:rPr>
          <w:rFonts w:ascii="Times New Roman" w:eastAsia="Times New Roman" w:hAnsi="Times New Roman"/>
          <w:bCs/>
          <w:i/>
          <w:iCs/>
          <w:color w:val="252525"/>
          <w:sz w:val="24"/>
          <w:szCs w:val="24"/>
          <w:lang w:val="en"/>
        </w:rPr>
      </w:pPr>
      <w:r>
        <w:rPr>
          <w:rFonts w:ascii="Times New Roman" w:eastAsia="Times New Roman" w:hAnsi="Times New Roman"/>
          <w:bCs/>
          <w:i/>
          <w:iCs/>
          <w:color w:val="252525"/>
          <w:sz w:val="24"/>
          <w:szCs w:val="24"/>
          <w:lang w:val="en"/>
        </w:rPr>
        <w:t xml:space="preserve">The Institute strongly recommends the addition of language in subsection (b) to make clear that the amended regulations apply only to dates on or after the effective date of these regulations. </w:t>
      </w:r>
      <w:r w:rsidR="0052638F">
        <w:rPr>
          <w:rFonts w:ascii="Times New Roman" w:hAnsi="Times New Roman"/>
          <w:bCs/>
          <w:i/>
          <w:iCs/>
          <w:sz w:val="24"/>
          <w:szCs w:val="24"/>
        </w:rPr>
        <w:t xml:space="preserve">Inasmuch as the Division is moving to a </w:t>
      </w:r>
      <w:r w:rsidR="00F57F86">
        <w:rPr>
          <w:rFonts w:ascii="Times New Roman" w:hAnsi="Times New Roman"/>
          <w:bCs/>
          <w:i/>
          <w:iCs/>
          <w:sz w:val="24"/>
          <w:szCs w:val="24"/>
        </w:rPr>
        <w:t xml:space="preserve">flat fee payment structure, language describing payment based on complexity and time must be </w:t>
      </w:r>
      <w:r w:rsidR="0052638F">
        <w:rPr>
          <w:rFonts w:ascii="Times New Roman" w:hAnsi="Times New Roman"/>
          <w:bCs/>
          <w:i/>
          <w:iCs/>
          <w:sz w:val="24"/>
          <w:szCs w:val="24"/>
        </w:rPr>
        <w:t xml:space="preserve">limited to services prior to the effective date of the </w:t>
      </w:r>
      <w:r>
        <w:rPr>
          <w:rFonts w:ascii="Times New Roman" w:hAnsi="Times New Roman"/>
          <w:bCs/>
          <w:i/>
          <w:iCs/>
          <w:sz w:val="24"/>
          <w:szCs w:val="24"/>
        </w:rPr>
        <w:t>revised regulations</w:t>
      </w:r>
      <w:r w:rsidR="00F57F86">
        <w:rPr>
          <w:rFonts w:ascii="Times New Roman" w:hAnsi="Times New Roman"/>
          <w:bCs/>
          <w:i/>
          <w:iCs/>
          <w:sz w:val="24"/>
          <w:szCs w:val="24"/>
        </w:rPr>
        <w:t>.</w:t>
      </w:r>
      <w:r w:rsidR="00E91BF1">
        <w:rPr>
          <w:rFonts w:ascii="Times New Roman" w:hAnsi="Times New Roman"/>
          <w:bCs/>
          <w:i/>
          <w:iCs/>
          <w:sz w:val="24"/>
          <w:szCs w:val="24"/>
        </w:rPr>
        <w:t xml:space="preserve">  </w:t>
      </w:r>
    </w:p>
    <w:p w14:paraId="21742DB8" w14:textId="77777777" w:rsidR="00F57F86" w:rsidRPr="00BF7D23" w:rsidRDefault="00F57F86" w:rsidP="00F57F86">
      <w:pPr>
        <w:shd w:val="clear" w:color="auto" w:fill="FFFFFF"/>
        <w:spacing w:line="288" w:lineRule="atLeast"/>
        <w:rPr>
          <w:rFonts w:ascii="Times New Roman" w:eastAsia="Times New Roman" w:hAnsi="Times New Roman"/>
          <w:strike/>
          <w:sz w:val="24"/>
          <w:szCs w:val="24"/>
          <w:lang w:val="en"/>
        </w:rPr>
      </w:pPr>
    </w:p>
    <w:p w14:paraId="29202226" w14:textId="7BE18850" w:rsidR="000E005D" w:rsidRPr="00CC165F" w:rsidRDefault="000E005D" w:rsidP="000E005D">
      <w:pPr>
        <w:shd w:val="clear" w:color="auto" w:fill="FFFFFF"/>
        <w:spacing w:after="360" w:line="240" w:lineRule="auto"/>
        <w:rPr>
          <w:rFonts w:ascii="Times New Roman" w:eastAsia="Times New Roman" w:hAnsi="Times New Roman"/>
          <w:sz w:val="24"/>
          <w:szCs w:val="24"/>
          <w:lang w:val="en"/>
        </w:rPr>
      </w:pPr>
      <w:r w:rsidRPr="00CC165F">
        <w:rPr>
          <w:rFonts w:ascii="Times New Roman" w:eastAsia="Times New Roman" w:hAnsi="Times New Roman"/>
          <w:sz w:val="24"/>
          <w:szCs w:val="24"/>
          <w:lang w:val="en"/>
        </w:rPr>
        <w:lastRenderedPageBreak/>
        <w:t>(c) Medical-legal evaluation reports and medical-legal testimony shall be reimbursed as follows:</w:t>
      </w:r>
    </w:p>
    <w:tbl>
      <w:tblPr>
        <w:tblStyle w:val="TableGridLight"/>
        <w:tblW w:w="5000" w:type="pct"/>
        <w:tblCellMar>
          <w:left w:w="115" w:type="dxa"/>
          <w:right w:w="115" w:type="dxa"/>
        </w:tblCellMar>
        <w:tblLook w:val="04E0" w:firstRow="1" w:lastRow="1" w:firstColumn="1" w:lastColumn="0" w:noHBand="0" w:noVBand="1"/>
      </w:tblPr>
      <w:tblGrid>
        <w:gridCol w:w="950"/>
        <w:gridCol w:w="1497"/>
        <w:gridCol w:w="6903"/>
      </w:tblGrid>
      <w:tr w:rsidR="004F7EA1" w:rsidRPr="004F7EA1" w14:paraId="28DD34F6" w14:textId="77777777" w:rsidTr="00573C06">
        <w:tc>
          <w:tcPr>
            <w:tcW w:w="0" w:type="auto"/>
            <w:hideMark/>
          </w:tcPr>
          <w:p w14:paraId="46A48A1E" w14:textId="7B42C857" w:rsidR="004F7EA1" w:rsidRPr="004F7EA1" w:rsidRDefault="004F7EA1" w:rsidP="004F7EA1">
            <w:pPr>
              <w:rPr>
                <w:rFonts w:ascii="Times New Roman" w:eastAsia="Times New Roman" w:hAnsi="Times New Roman"/>
              </w:rPr>
            </w:pPr>
            <w:r w:rsidRPr="00540157">
              <w:rPr>
                <w:rFonts w:ascii="Times New Roman" w:eastAsia="Times New Roman" w:hAnsi="Times New Roman"/>
              </w:rPr>
              <w:t>ML204</w:t>
            </w:r>
          </w:p>
        </w:tc>
        <w:tc>
          <w:tcPr>
            <w:tcW w:w="0" w:type="auto"/>
            <w:hideMark/>
          </w:tcPr>
          <w:p w14:paraId="31538DB2" w14:textId="4C0CB9E6" w:rsidR="004F7EA1" w:rsidRPr="004F7EA1" w:rsidRDefault="004F7EA1" w:rsidP="004F7EA1">
            <w:pPr>
              <w:rPr>
                <w:rFonts w:ascii="Times New Roman" w:eastAsia="Times New Roman" w:hAnsi="Times New Roman"/>
              </w:rPr>
            </w:pPr>
            <w:r w:rsidRPr="004F7EA1">
              <w:rPr>
                <w:rFonts w:ascii="Times New Roman" w:eastAsia="Times New Roman" w:hAnsi="Times New Roman"/>
              </w:rPr>
              <w:t>7</w:t>
            </w:r>
          </w:p>
          <w:p w14:paraId="6D6FB59C" w14:textId="2F24C8A2" w:rsidR="004F7EA1" w:rsidRPr="004F7EA1" w:rsidRDefault="004F7EA1" w:rsidP="004F7EA1">
            <w:pPr>
              <w:rPr>
                <w:rFonts w:ascii="Times New Roman" w:eastAsia="Times New Roman" w:hAnsi="Times New Roman"/>
              </w:rPr>
            </w:pPr>
            <w:r w:rsidRPr="004F7EA1">
              <w:rPr>
                <w:rFonts w:ascii="Times New Roman" w:eastAsia="Times New Roman" w:hAnsi="Times New Roman"/>
              </w:rPr>
              <w:t>($</w:t>
            </w:r>
            <w:r w:rsidRPr="00AA23B2">
              <w:rPr>
                <w:rFonts w:ascii="Times New Roman" w:eastAsia="Times New Roman" w:hAnsi="Times New Roman"/>
                <w:strike/>
                <w:highlight w:val="yellow"/>
              </w:rPr>
              <w:t>455</w:t>
            </w:r>
            <w:r w:rsidR="00AA23B2" w:rsidRPr="00AA23B2">
              <w:rPr>
                <w:rFonts w:ascii="Times New Roman" w:eastAsia="Times New Roman" w:hAnsi="Times New Roman"/>
                <w:highlight w:val="yellow"/>
                <w:u w:val="single"/>
              </w:rPr>
              <w:t>425</w:t>
            </w:r>
            <w:r w:rsidRPr="004F7EA1">
              <w:rPr>
                <w:rFonts w:ascii="Times New Roman" w:eastAsia="Times New Roman" w:hAnsi="Times New Roman"/>
              </w:rPr>
              <w:t>/</w:t>
            </w:r>
            <w:proofErr w:type="spellStart"/>
            <w:r w:rsidRPr="004F7EA1">
              <w:rPr>
                <w:rFonts w:ascii="Times New Roman" w:eastAsia="Times New Roman" w:hAnsi="Times New Roman"/>
              </w:rPr>
              <w:t>hr</w:t>
            </w:r>
            <w:proofErr w:type="spellEnd"/>
            <w:r w:rsidRPr="004F7EA1">
              <w:rPr>
                <w:rFonts w:ascii="Times New Roman" w:eastAsia="Times New Roman" w:hAnsi="Times New Roman"/>
              </w:rPr>
              <w:t>)</w:t>
            </w:r>
          </w:p>
          <w:p w14:paraId="71971A9A" w14:textId="77777777" w:rsidR="004F7EA1" w:rsidRPr="004F7EA1" w:rsidRDefault="004F7EA1" w:rsidP="004F7EA1">
            <w:pPr>
              <w:rPr>
                <w:rFonts w:ascii="Times New Roman" w:eastAsia="Times New Roman" w:hAnsi="Times New Roman"/>
              </w:rPr>
            </w:pPr>
          </w:p>
        </w:tc>
        <w:tc>
          <w:tcPr>
            <w:tcW w:w="0" w:type="auto"/>
            <w:hideMark/>
          </w:tcPr>
          <w:p w14:paraId="4CE48CBE" w14:textId="7B036BCE" w:rsidR="004F7EA1" w:rsidRPr="004F7EA1" w:rsidRDefault="004F7EA1" w:rsidP="004F7EA1">
            <w:pPr>
              <w:rPr>
                <w:rFonts w:ascii="Times New Roman" w:eastAsia="Times New Roman" w:hAnsi="Times New Roman"/>
              </w:rPr>
            </w:pPr>
            <w:r w:rsidRPr="004F7EA1">
              <w:rPr>
                <w:rFonts w:ascii="Times New Roman" w:eastAsia="Times New Roman" w:hAnsi="Times New Roman"/>
                <w:i/>
              </w:rPr>
              <w:t>Fees for Medical-Legal Testimony.</w:t>
            </w:r>
            <w:r w:rsidRPr="004F7EA1">
              <w:rPr>
                <w:rFonts w:ascii="Times New Roman" w:eastAsia="Times New Roman" w:hAnsi="Times New Roman"/>
              </w:rPr>
              <w:t xml:space="preserve"> The physician shall be reimbursed at the rate of RV 7, or </w:t>
            </w:r>
            <w:r w:rsidRPr="00540157">
              <w:rPr>
                <w:rFonts w:ascii="Times New Roman" w:eastAsia="Times New Roman" w:hAnsi="Times New Roman"/>
                <w:strike/>
                <w:highlight w:val="yellow"/>
              </w:rPr>
              <w:t xml:space="preserve">his or </w:t>
            </w:r>
            <w:proofErr w:type="spellStart"/>
            <w:r w:rsidRPr="00540157">
              <w:rPr>
                <w:rFonts w:ascii="Times New Roman" w:eastAsia="Times New Roman" w:hAnsi="Times New Roman"/>
                <w:strike/>
                <w:highlight w:val="yellow"/>
              </w:rPr>
              <w:t>her</w:t>
            </w:r>
            <w:r w:rsidR="00540157" w:rsidRPr="00540157">
              <w:rPr>
                <w:rFonts w:ascii="Times New Roman" w:eastAsia="Times New Roman" w:hAnsi="Times New Roman"/>
                <w:highlight w:val="yellow"/>
                <w:u w:val="single"/>
              </w:rPr>
              <w:t>their</w:t>
            </w:r>
            <w:proofErr w:type="spellEnd"/>
            <w:r w:rsidRPr="004F7EA1">
              <w:rPr>
                <w:rFonts w:ascii="Times New Roman" w:eastAsia="Times New Roman" w:hAnsi="Times New Roman"/>
              </w:rPr>
              <w:t xml:space="preserve">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two hours for a deposition</w:t>
            </w:r>
            <w:r w:rsidR="00701558">
              <w:rPr>
                <w:rFonts w:ascii="Times New Roman" w:eastAsia="Times New Roman" w:hAnsi="Times New Roman"/>
                <w:highlight w:val="yellow"/>
                <w:u w:val="single"/>
              </w:rPr>
              <w:t>, in</w:t>
            </w:r>
            <w:r w:rsidR="00C31BF1" w:rsidRPr="00C31BF1">
              <w:rPr>
                <w:rFonts w:ascii="Times New Roman" w:eastAsia="Times New Roman" w:hAnsi="Times New Roman"/>
                <w:highlight w:val="yellow"/>
                <w:u w:val="single"/>
              </w:rPr>
              <w:t xml:space="preserve">cluding preparation and </w:t>
            </w:r>
            <w:r w:rsidR="00701558">
              <w:rPr>
                <w:rFonts w:ascii="Times New Roman" w:eastAsia="Times New Roman" w:hAnsi="Times New Roman"/>
                <w:highlight w:val="yellow"/>
                <w:u w:val="single"/>
              </w:rPr>
              <w:t>testimony</w:t>
            </w:r>
            <w:r w:rsidR="00C31BF1" w:rsidRPr="00C31BF1">
              <w:rPr>
                <w:rFonts w:ascii="Times New Roman" w:eastAsia="Times New Roman" w:hAnsi="Times New Roman"/>
                <w:highlight w:val="yellow"/>
                <w:u w:val="single"/>
              </w:rPr>
              <w:t xml:space="preserve"> time</w:t>
            </w:r>
            <w:r w:rsidRPr="00C31BF1">
              <w:rPr>
                <w:rFonts w:ascii="Times New Roman" w:eastAsia="Times New Roman" w:hAnsi="Times New Roman"/>
              </w:rPr>
              <w:t>.</w:t>
            </w:r>
            <w:r w:rsidRPr="004F7EA1">
              <w:rPr>
                <w:rFonts w:ascii="Times New Roman" w:eastAsia="Times New Roman" w:hAnsi="Times New Roman"/>
              </w:rPr>
              <w:t xml:space="preserve"> If a deposition is canceled fewer than eight (8) days before the scheduled deposition date, the physician shall be paid a minimum of one hour for the scheduled deposition.</w:t>
            </w:r>
          </w:p>
          <w:p w14:paraId="76F8262B" w14:textId="173649A6" w:rsidR="004F7EA1" w:rsidRPr="004F7EA1" w:rsidRDefault="004F7EA1" w:rsidP="004F7EA1">
            <w:pPr>
              <w:rPr>
                <w:rFonts w:ascii="Times New Roman" w:eastAsia="Times New Roman" w:hAnsi="Times New Roman"/>
              </w:rPr>
            </w:pPr>
          </w:p>
        </w:tc>
      </w:tr>
    </w:tbl>
    <w:p w14:paraId="4420B3E9" w14:textId="77777777" w:rsidR="00DC1461" w:rsidRDefault="00DC1461" w:rsidP="00AA23B2">
      <w:pPr>
        <w:spacing w:after="0" w:line="240" w:lineRule="auto"/>
        <w:rPr>
          <w:rFonts w:ascii="Times New Roman" w:eastAsia="Times New Roman" w:hAnsi="Times New Roman"/>
          <w:b/>
          <w:bCs/>
          <w:sz w:val="24"/>
          <w:szCs w:val="24"/>
        </w:rPr>
      </w:pPr>
    </w:p>
    <w:p w14:paraId="1B5AA2B0" w14:textId="35A2BBE6" w:rsidR="00AA23B2" w:rsidRPr="00040386" w:rsidRDefault="00AA23B2" w:rsidP="00AA23B2">
      <w:pPr>
        <w:spacing w:after="0" w:line="240" w:lineRule="auto"/>
        <w:rPr>
          <w:rFonts w:ascii="Times New Roman" w:eastAsia="Times New Roman" w:hAnsi="Times New Roman"/>
          <w:b/>
          <w:bCs/>
          <w:sz w:val="24"/>
          <w:szCs w:val="24"/>
        </w:rPr>
      </w:pPr>
      <w:r w:rsidRPr="00040386">
        <w:rPr>
          <w:rFonts w:ascii="Times New Roman" w:eastAsia="Times New Roman" w:hAnsi="Times New Roman"/>
          <w:b/>
          <w:bCs/>
          <w:sz w:val="24"/>
          <w:szCs w:val="24"/>
        </w:rPr>
        <w:t>Discussion:</w:t>
      </w:r>
    </w:p>
    <w:p w14:paraId="7F2005C3" w14:textId="5D0B2059" w:rsidR="00AA23B2" w:rsidRPr="008436A8" w:rsidRDefault="00AA23B2" w:rsidP="00AA23B2">
      <w:pPr>
        <w:pStyle w:val="CommentText"/>
        <w:rPr>
          <w:rFonts w:ascii="Times New Roman" w:hAnsi="Times New Roman"/>
          <w:i/>
          <w:iCs/>
          <w:sz w:val="24"/>
          <w:szCs w:val="24"/>
        </w:rPr>
      </w:pPr>
      <w:r>
        <w:rPr>
          <w:rFonts w:ascii="Times New Roman" w:eastAsia="Times New Roman" w:hAnsi="Times New Roman"/>
          <w:i/>
          <w:iCs/>
          <w:sz w:val="24"/>
          <w:szCs w:val="24"/>
          <w:lang w:val="en"/>
        </w:rPr>
        <w:t xml:space="preserve">During the stakeholder meetings, a figure of $425 was suggested by attendees.  Inasmuch as the current rate </w:t>
      </w:r>
      <w:r w:rsidR="008F6A56">
        <w:rPr>
          <w:rFonts w:ascii="Times New Roman" w:eastAsia="Times New Roman" w:hAnsi="Times New Roman"/>
          <w:i/>
          <w:iCs/>
          <w:sz w:val="24"/>
          <w:szCs w:val="24"/>
          <w:lang w:val="en"/>
        </w:rPr>
        <w:t>for deposition testimony is $250, a</w:t>
      </w:r>
      <w:r w:rsidR="00DC1461">
        <w:rPr>
          <w:rFonts w:ascii="Times New Roman" w:eastAsia="Times New Roman" w:hAnsi="Times New Roman"/>
          <w:i/>
          <w:iCs/>
          <w:sz w:val="24"/>
          <w:szCs w:val="24"/>
          <w:lang w:val="en"/>
        </w:rPr>
        <w:t xml:space="preserve"> 70</w:t>
      </w:r>
      <w:r w:rsidR="008F6A56">
        <w:rPr>
          <w:rFonts w:ascii="Times New Roman" w:eastAsia="Times New Roman" w:hAnsi="Times New Roman"/>
          <w:i/>
          <w:iCs/>
          <w:sz w:val="24"/>
          <w:szCs w:val="24"/>
          <w:lang w:val="en"/>
        </w:rPr>
        <w:t xml:space="preserve">% </w:t>
      </w:r>
      <w:r w:rsidR="00DC1461">
        <w:rPr>
          <w:rFonts w:ascii="Times New Roman" w:eastAsia="Times New Roman" w:hAnsi="Times New Roman"/>
          <w:i/>
          <w:iCs/>
          <w:sz w:val="24"/>
          <w:szCs w:val="24"/>
          <w:lang w:val="en"/>
        </w:rPr>
        <w:t xml:space="preserve">increase in the hourly rate </w:t>
      </w:r>
      <w:r w:rsidR="008F6A56">
        <w:rPr>
          <w:rFonts w:ascii="Times New Roman" w:eastAsia="Times New Roman" w:hAnsi="Times New Roman"/>
          <w:i/>
          <w:iCs/>
          <w:sz w:val="24"/>
          <w:szCs w:val="24"/>
          <w:lang w:val="en"/>
        </w:rPr>
        <w:t>should be sufficient to address the concerns in this instance.</w:t>
      </w:r>
      <w:r w:rsidR="00C31BF1">
        <w:rPr>
          <w:rFonts w:ascii="Times New Roman" w:eastAsia="Times New Roman" w:hAnsi="Times New Roman"/>
          <w:i/>
          <w:iCs/>
          <w:sz w:val="24"/>
          <w:szCs w:val="24"/>
          <w:lang w:val="en"/>
        </w:rPr>
        <w:t xml:space="preserve">  Since depositions rarely last longer than</w:t>
      </w:r>
      <w:r w:rsidR="00701558">
        <w:rPr>
          <w:rFonts w:ascii="Times New Roman" w:eastAsia="Times New Roman" w:hAnsi="Times New Roman"/>
          <w:i/>
          <w:iCs/>
          <w:sz w:val="24"/>
          <w:szCs w:val="24"/>
          <w:lang w:val="en"/>
        </w:rPr>
        <w:t xml:space="preserve"> one hour</w:t>
      </w:r>
      <w:r w:rsidR="00C31BF1">
        <w:rPr>
          <w:rFonts w:ascii="Times New Roman" w:eastAsia="Times New Roman" w:hAnsi="Times New Roman"/>
          <w:i/>
          <w:iCs/>
          <w:sz w:val="24"/>
          <w:szCs w:val="24"/>
          <w:lang w:val="en"/>
        </w:rPr>
        <w:t xml:space="preserve">, </w:t>
      </w:r>
      <w:r w:rsidR="00701558">
        <w:rPr>
          <w:rFonts w:ascii="Times New Roman" w:eastAsia="Times New Roman" w:hAnsi="Times New Roman"/>
          <w:i/>
          <w:iCs/>
          <w:sz w:val="24"/>
          <w:szCs w:val="24"/>
          <w:lang w:val="en"/>
        </w:rPr>
        <w:t>a</w:t>
      </w:r>
      <w:r w:rsidR="00C31BF1">
        <w:rPr>
          <w:rFonts w:ascii="Times New Roman" w:eastAsia="Times New Roman" w:hAnsi="Times New Roman"/>
          <w:i/>
          <w:iCs/>
          <w:sz w:val="24"/>
          <w:szCs w:val="24"/>
          <w:lang w:val="en"/>
        </w:rPr>
        <w:t xml:space="preserve"> two</w:t>
      </w:r>
      <w:r w:rsidR="00701558">
        <w:rPr>
          <w:rFonts w:ascii="Times New Roman" w:eastAsia="Times New Roman" w:hAnsi="Times New Roman"/>
          <w:i/>
          <w:iCs/>
          <w:sz w:val="24"/>
          <w:szCs w:val="24"/>
          <w:lang w:val="en"/>
        </w:rPr>
        <w:t>-</w:t>
      </w:r>
      <w:r w:rsidR="00C31BF1">
        <w:rPr>
          <w:rFonts w:ascii="Times New Roman" w:eastAsia="Times New Roman" w:hAnsi="Times New Roman"/>
          <w:i/>
          <w:iCs/>
          <w:sz w:val="24"/>
          <w:szCs w:val="24"/>
          <w:lang w:val="en"/>
        </w:rPr>
        <w:t xml:space="preserve">hour minimum adequately addresses </w:t>
      </w:r>
      <w:r w:rsidR="00701558">
        <w:rPr>
          <w:rFonts w:ascii="Times New Roman" w:eastAsia="Times New Roman" w:hAnsi="Times New Roman"/>
          <w:i/>
          <w:iCs/>
          <w:sz w:val="24"/>
          <w:szCs w:val="24"/>
          <w:lang w:val="en"/>
        </w:rPr>
        <w:t>a reasonable</w:t>
      </w:r>
      <w:r w:rsidR="00C31BF1">
        <w:rPr>
          <w:rFonts w:ascii="Times New Roman" w:eastAsia="Times New Roman" w:hAnsi="Times New Roman"/>
          <w:i/>
          <w:iCs/>
          <w:sz w:val="24"/>
          <w:szCs w:val="24"/>
          <w:lang w:val="en"/>
        </w:rPr>
        <w:t xml:space="preserve"> time associated with preparation and </w:t>
      </w:r>
      <w:r w:rsidR="00701558">
        <w:rPr>
          <w:rFonts w:ascii="Times New Roman" w:eastAsia="Times New Roman" w:hAnsi="Times New Roman"/>
          <w:i/>
          <w:iCs/>
          <w:sz w:val="24"/>
          <w:szCs w:val="24"/>
          <w:lang w:val="en"/>
        </w:rPr>
        <w:t>testimony</w:t>
      </w:r>
      <w:r w:rsidR="00C31BF1">
        <w:rPr>
          <w:rFonts w:ascii="Times New Roman" w:eastAsia="Times New Roman" w:hAnsi="Times New Roman"/>
          <w:i/>
          <w:iCs/>
          <w:sz w:val="24"/>
          <w:szCs w:val="24"/>
          <w:lang w:val="en"/>
        </w:rPr>
        <w:t>.</w:t>
      </w:r>
    </w:p>
    <w:p w14:paraId="6BFE9EA9" w14:textId="79FE93F3" w:rsidR="009A4F4C" w:rsidRDefault="009A4F4C" w:rsidP="00BF7D23">
      <w:pPr>
        <w:rPr>
          <w:rFonts w:ascii="Times New Roman" w:eastAsia="Times New Roman" w:hAnsi="Times New Roman"/>
          <w:sz w:val="24"/>
          <w:szCs w:val="24"/>
          <w:lang w:val="en"/>
        </w:rPr>
      </w:pPr>
    </w:p>
    <w:tbl>
      <w:tblPr>
        <w:tblStyle w:val="TableGridLight"/>
        <w:tblW w:w="5000" w:type="pct"/>
        <w:tblCellMar>
          <w:left w:w="115" w:type="dxa"/>
          <w:right w:w="115" w:type="dxa"/>
        </w:tblCellMar>
        <w:tblLook w:val="04E0" w:firstRow="1" w:lastRow="1" w:firstColumn="1" w:lastColumn="0" w:noHBand="0" w:noVBand="1"/>
      </w:tblPr>
      <w:tblGrid>
        <w:gridCol w:w="950"/>
        <w:gridCol w:w="630"/>
        <w:gridCol w:w="7770"/>
      </w:tblGrid>
      <w:tr w:rsidR="0059584B" w:rsidRPr="0059584B" w14:paraId="1CAADC12" w14:textId="77777777" w:rsidTr="00BA0175">
        <w:trPr>
          <w:trHeight w:val="4580"/>
        </w:trPr>
        <w:tc>
          <w:tcPr>
            <w:tcW w:w="0" w:type="auto"/>
            <w:hideMark/>
          </w:tcPr>
          <w:p w14:paraId="44781814" w14:textId="3D3B6C70" w:rsidR="0059584B" w:rsidRPr="0059584B" w:rsidRDefault="0059584B" w:rsidP="0059584B">
            <w:pPr>
              <w:rPr>
                <w:rFonts w:ascii="Times New Roman" w:eastAsia="Times New Roman" w:hAnsi="Times New Roman"/>
              </w:rPr>
            </w:pPr>
            <w:r w:rsidRPr="00540157">
              <w:rPr>
                <w:rFonts w:ascii="Times New Roman" w:eastAsia="Times New Roman" w:hAnsi="Times New Roman"/>
              </w:rPr>
              <w:t>ML206</w:t>
            </w:r>
          </w:p>
        </w:tc>
        <w:tc>
          <w:tcPr>
            <w:tcW w:w="0" w:type="auto"/>
            <w:hideMark/>
          </w:tcPr>
          <w:p w14:paraId="1F4D7C00" w14:textId="77777777" w:rsidR="0059584B" w:rsidRPr="0059584B" w:rsidRDefault="0059584B" w:rsidP="0059584B">
            <w:pPr>
              <w:rPr>
                <w:rFonts w:ascii="Times New Roman" w:eastAsia="Times New Roman" w:hAnsi="Times New Roman"/>
              </w:rPr>
            </w:pPr>
            <w:r w:rsidRPr="0059584B">
              <w:rPr>
                <w:rFonts w:ascii="Times New Roman" w:eastAsia="Times New Roman" w:hAnsi="Times New Roman"/>
              </w:rPr>
              <w:t>($0)</w:t>
            </w:r>
          </w:p>
        </w:tc>
        <w:tc>
          <w:tcPr>
            <w:tcW w:w="0" w:type="auto"/>
            <w:hideMark/>
          </w:tcPr>
          <w:p w14:paraId="1D270925" w14:textId="77777777" w:rsidR="00812CF1" w:rsidRPr="00BA0175" w:rsidRDefault="00812CF1" w:rsidP="00812CF1">
            <w:pPr>
              <w:spacing w:after="288" w:line="270" w:lineRule="atLeast"/>
              <w:rPr>
                <w:rFonts w:ascii="Times New Roman" w:eastAsia="Times New Roman" w:hAnsi="Times New Roman"/>
                <w:strike/>
              </w:rPr>
            </w:pPr>
            <w:r w:rsidRPr="00BA0175">
              <w:rPr>
                <w:rFonts w:ascii="Times New Roman" w:eastAsia="Times New Roman" w:hAnsi="Times New Roman"/>
                <w:strike/>
                <w:highlight w:val="yellow"/>
              </w:rPr>
              <w:t>Unreimbursed Supplemental Medical-Legal Evaluations. This code is designed for communication purposes only. It indicates and acknowledges that compensation is not owed for this report. This code shall be used for supplemental reports: (1) following the physician's review of information which was available in the physician's office for review or was included in the document record provided to the physician prior to preparing a comprehensive medical-legal report or a follow-up medical-legal report; (2) addressing an issue that was requested by a party to the action to be addressed in a prior comprehensive medical-legal evaluation, a prior follow-up medical-legal evaluation, or a prior supplemental medical-legal evaluation; or (3) addressing an issue that should have been addressed in a prior comprehensive medical-legal evaluation, a prior follow-up medical-legal evaluation, or a prior supplemental medical-legal evaluation pursuant to the requirements for a medical-legal evaluation and or report as required by any provision of title eight, California Code of Regulations, sections 9793, 9794 and 9795.</w:t>
            </w:r>
          </w:p>
          <w:p w14:paraId="1D713FD7" w14:textId="2BBBE379" w:rsidR="0059584B" w:rsidRPr="0059584B" w:rsidRDefault="0059584B" w:rsidP="0059584B">
            <w:pPr>
              <w:rPr>
                <w:rFonts w:ascii="Times New Roman" w:eastAsia="Times New Roman" w:hAnsi="Times New Roman"/>
                <w:strike/>
                <w:highlight w:val="yellow"/>
              </w:rPr>
            </w:pPr>
          </w:p>
        </w:tc>
      </w:tr>
    </w:tbl>
    <w:p w14:paraId="1217C300" w14:textId="77777777" w:rsidR="00BA0175" w:rsidRDefault="00BA0175" w:rsidP="00BF7D23">
      <w:pPr>
        <w:rPr>
          <w:rFonts w:ascii="Times New Roman" w:eastAsia="Times New Roman" w:hAnsi="Times New Roman"/>
          <w:b/>
          <w:bCs/>
          <w:sz w:val="24"/>
          <w:szCs w:val="24"/>
          <w:lang w:val="en"/>
        </w:rPr>
      </w:pPr>
    </w:p>
    <w:p w14:paraId="2D6D21FA" w14:textId="58B77BDD" w:rsidR="004F2363" w:rsidRDefault="0059584B" w:rsidP="00160446">
      <w:pPr>
        <w:spacing w:after="0"/>
        <w:rPr>
          <w:rFonts w:ascii="Times New Roman" w:eastAsia="Times New Roman" w:hAnsi="Times New Roman"/>
          <w:b/>
          <w:bCs/>
          <w:sz w:val="24"/>
          <w:szCs w:val="24"/>
          <w:lang w:val="en"/>
        </w:rPr>
      </w:pPr>
      <w:r w:rsidRPr="0059584B">
        <w:rPr>
          <w:rFonts w:ascii="Times New Roman" w:eastAsia="Times New Roman" w:hAnsi="Times New Roman"/>
          <w:b/>
          <w:bCs/>
          <w:sz w:val="24"/>
          <w:szCs w:val="24"/>
          <w:lang w:val="en"/>
        </w:rPr>
        <w:t>Discussion:</w:t>
      </w:r>
    </w:p>
    <w:p w14:paraId="3C417643" w14:textId="71615542" w:rsidR="00336F66" w:rsidRDefault="00701558" w:rsidP="00BF7D23">
      <w:pPr>
        <w:rPr>
          <w:rFonts w:ascii="Times New Roman" w:eastAsia="Times New Roman" w:hAnsi="Times New Roman"/>
          <w:i/>
          <w:iCs/>
          <w:sz w:val="24"/>
          <w:szCs w:val="24"/>
          <w:lang w:val="en"/>
        </w:rPr>
      </w:pPr>
      <w:r>
        <w:rPr>
          <w:rFonts w:ascii="Times New Roman" w:eastAsia="Times New Roman" w:hAnsi="Times New Roman"/>
          <w:i/>
          <w:iCs/>
          <w:sz w:val="24"/>
          <w:szCs w:val="24"/>
          <w:lang w:val="en"/>
        </w:rPr>
        <w:t xml:space="preserve">The </w:t>
      </w:r>
      <w:r w:rsidR="00336F66">
        <w:rPr>
          <w:rFonts w:ascii="Times New Roman" w:eastAsia="Times New Roman" w:hAnsi="Times New Roman"/>
          <w:i/>
          <w:iCs/>
          <w:sz w:val="24"/>
          <w:szCs w:val="24"/>
          <w:lang w:val="en"/>
        </w:rPr>
        <w:t>description contained in ML</w:t>
      </w:r>
      <w:r w:rsidR="00160446">
        <w:rPr>
          <w:rFonts w:ascii="Times New Roman" w:eastAsia="Times New Roman" w:hAnsi="Times New Roman"/>
          <w:i/>
          <w:iCs/>
          <w:sz w:val="24"/>
          <w:szCs w:val="24"/>
          <w:lang w:val="en"/>
        </w:rPr>
        <w:t xml:space="preserve"> </w:t>
      </w:r>
      <w:r w:rsidR="00336F66">
        <w:rPr>
          <w:rFonts w:ascii="Times New Roman" w:eastAsia="Times New Roman" w:hAnsi="Times New Roman"/>
          <w:i/>
          <w:iCs/>
          <w:sz w:val="24"/>
          <w:szCs w:val="24"/>
          <w:lang w:val="en"/>
        </w:rPr>
        <w:t xml:space="preserve">203 already outlines certain aspects of a Supplemental Report that are not reimbursable.  </w:t>
      </w:r>
      <w:r w:rsidR="0059584B">
        <w:rPr>
          <w:rFonts w:ascii="Times New Roman" w:eastAsia="Times New Roman" w:hAnsi="Times New Roman"/>
          <w:i/>
          <w:iCs/>
          <w:sz w:val="24"/>
          <w:szCs w:val="24"/>
          <w:lang w:val="en"/>
        </w:rPr>
        <w:t xml:space="preserve">Creation of a </w:t>
      </w:r>
      <w:r>
        <w:rPr>
          <w:rFonts w:ascii="Times New Roman" w:eastAsia="Times New Roman" w:hAnsi="Times New Roman"/>
          <w:i/>
          <w:iCs/>
          <w:sz w:val="24"/>
          <w:szCs w:val="24"/>
          <w:lang w:val="en"/>
        </w:rPr>
        <w:t xml:space="preserve">separate </w:t>
      </w:r>
      <w:r w:rsidR="0059584B">
        <w:rPr>
          <w:rFonts w:ascii="Times New Roman" w:eastAsia="Times New Roman" w:hAnsi="Times New Roman"/>
          <w:i/>
          <w:iCs/>
          <w:sz w:val="24"/>
          <w:szCs w:val="24"/>
          <w:lang w:val="en"/>
        </w:rPr>
        <w:t xml:space="preserve">code describing a non-payable service will </w:t>
      </w:r>
      <w:r w:rsidR="00AE0CBF">
        <w:rPr>
          <w:rFonts w:ascii="Times New Roman" w:eastAsia="Times New Roman" w:hAnsi="Times New Roman"/>
          <w:i/>
          <w:iCs/>
          <w:sz w:val="24"/>
          <w:szCs w:val="24"/>
          <w:lang w:val="en"/>
        </w:rPr>
        <w:t>cause</w:t>
      </w:r>
      <w:r w:rsidR="0059584B">
        <w:rPr>
          <w:rFonts w:ascii="Times New Roman" w:eastAsia="Times New Roman" w:hAnsi="Times New Roman"/>
          <w:i/>
          <w:iCs/>
          <w:sz w:val="24"/>
          <w:szCs w:val="24"/>
          <w:lang w:val="en"/>
        </w:rPr>
        <w:t xml:space="preserve"> confusion and</w:t>
      </w:r>
      <w:r w:rsidR="008F6A56">
        <w:rPr>
          <w:rFonts w:ascii="Times New Roman" w:eastAsia="Times New Roman" w:hAnsi="Times New Roman"/>
          <w:i/>
          <w:iCs/>
          <w:sz w:val="24"/>
          <w:szCs w:val="24"/>
          <w:lang w:val="en"/>
        </w:rPr>
        <w:t xml:space="preserve"> the Institute suggests removing this language.  </w:t>
      </w:r>
      <w:r w:rsidR="00041190">
        <w:rPr>
          <w:rFonts w:ascii="Times New Roman" w:eastAsia="Times New Roman" w:hAnsi="Times New Roman"/>
          <w:i/>
          <w:iCs/>
          <w:sz w:val="24"/>
          <w:szCs w:val="24"/>
          <w:lang w:val="en"/>
        </w:rPr>
        <w:t xml:space="preserve">While a supplemental report may be generated to address a deficiency in the associated comprehensive report, there is no requirement for the evaluating physician to submit a bill for zero fees associated with that </w:t>
      </w:r>
      <w:r w:rsidR="00041190">
        <w:rPr>
          <w:rFonts w:ascii="Times New Roman" w:eastAsia="Times New Roman" w:hAnsi="Times New Roman"/>
          <w:i/>
          <w:iCs/>
          <w:sz w:val="24"/>
          <w:szCs w:val="24"/>
          <w:lang w:val="en"/>
        </w:rPr>
        <w:lastRenderedPageBreak/>
        <w:t xml:space="preserve">supplemental report.  </w:t>
      </w:r>
      <w:r w:rsidR="00D61C8A">
        <w:rPr>
          <w:rFonts w:ascii="Times New Roman" w:eastAsia="Times New Roman" w:hAnsi="Times New Roman"/>
          <w:i/>
          <w:iCs/>
          <w:sz w:val="24"/>
          <w:szCs w:val="24"/>
          <w:lang w:val="en"/>
        </w:rPr>
        <w:t>Although</w:t>
      </w:r>
      <w:r w:rsidR="00336F66">
        <w:rPr>
          <w:rFonts w:ascii="Times New Roman" w:eastAsia="Times New Roman" w:hAnsi="Times New Roman"/>
          <w:i/>
          <w:iCs/>
          <w:sz w:val="24"/>
          <w:szCs w:val="24"/>
          <w:lang w:val="en"/>
        </w:rPr>
        <w:t xml:space="preserve"> some providers may not be incentivized to submit a zero-fee billing, to the extent that such bills are generated they </w:t>
      </w:r>
      <w:r w:rsidR="00D61C8A">
        <w:rPr>
          <w:rFonts w:ascii="Times New Roman" w:eastAsia="Times New Roman" w:hAnsi="Times New Roman"/>
          <w:i/>
          <w:iCs/>
          <w:sz w:val="24"/>
          <w:szCs w:val="24"/>
          <w:lang w:val="en"/>
        </w:rPr>
        <w:t xml:space="preserve">will </w:t>
      </w:r>
      <w:r w:rsidR="00336F66">
        <w:rPr>
          <w:rFonts w:ascii="Times New Roman" w:eastAsia="Times New Roman" w:hAnsi="Times New Roman"/>
          <w:i/>
          <w:iCs/>
          <w:sz w:val="24"/>
          <w:szCs w:val="24"/>
          <w:lang w:val="en"/>
        </w:rPr>
        <w:t xml:space="preserve">represent new administrative costs for both the provider and for the </w:t>
      </w:r>
      <w:proofErr w:type="gramStart"/>
      <w:r w:rsidR="00D61C8A">
        <w:rPr>
          <w:rFonts w:ascii="Times New Roman" w:eastAsia="Times New Roman" w:hAnsi="Times New Roman"/>
          <w:i/>
          <w:iCs/>
          <w:sz w:val="24"/>
          <w:szCs w:val="24"/>
          <w:lang w:val="en"/>
        </w:rPr>
        <w:t>claims</w:t>
      </w:r>
      <w:proofErr w:type="gramEnd"/>
      <w:r w:rsidR="00D61C8A">
        <w:rPr>
          <w:rFonts w:ascii="Times New Roman" w:eastAsia="Times New Roman" w:hAnsi="Times New Roman"/>
          <w:i/>
          <w:iCs/>
          <w:sz w:val="24"/>
          <w:szCs w:val="24"/>
          <w:lang w:val="en"/>
        </w:rPr>
        <w:t xml:space="preserve"> administrator</w:t>
      </w:r>
      <w:r w:rsidR="00336F66">
        <w:rPr>
          <w:rFonts w:ascii="Times New Roman" w:eastAsia="Times New Roman" w:hAnsi="Times New Roman"/>
          <w:i/>
          <w:iCs/>
          <w:sz w:val="24"/>
          <w:szCs w:val="24"/>
          <w:lang w:val="en"/>
        </w:rPr>
        <w:t>.  If the intent of this code is for purposes of tracking these types of report</w:t>
      </w:r>
      <w:r w:rsidR="00EA2EA2">
        <w:rPr>
          <w:rFonts w:ascii="Times New Roman" w:eastAsia="Times New Roman" w:hAnsi="Times New Roman"/>
          <w:i/>
          <w:iCs/>
          <w:sz w:val="24"/>
          <w:szCs w:val="24"/>
          <w:lang w:val="en"/>
        </w:rPr>
        <w:t>s</w:t>
      </w:r>
      <w:r w:rsidR="00336F66">
        <w:rPr>
          <w:rFonts w:ascii="Times New Roman" w:eastAsia="Times New Roman" w:hAnsi="Times New Roman"/>
          <w:i/>
          <w:iCs/>
          <w:sz w:val="24"/>
          <w:szCs w:val="24"/>
          <w:lang w:val="en"/>
        </w:rPr>
        <w:t xml:space="preserve"> by the Division, inconsistency in the </w:t>
      </w:r>
      <w:r w:rsidR="00EA2EA2">
        <w:rPr>
          <w:rFonts w:ascii="Times New Roman" w:eastAsia="Times New Roman" w:hAnsi="Times New Roman"/>
          <w:i/>
          <w:iCs/>
          <w:sz w:val="24"/>
          <w:szCs w:val="24"/>
          <w:lang w:val="en"/>
        </w:rPr>
        <w:t>use</w:t>
      </w:r>
      <w:r w:rsidR="00336F66">
        <w:rPr>
          <w:rFonts w:ascii="Times New Roman" w:eastAsia="Times New Roman" w:hAnsi="Times New Roman"/>
          <w:i/>
          <w:iCs/>
          <w:sz w:val="24"/>
          <w:szCs w:val="24"/>
          <w:lang w:val="en"/>
        </w:rPr>
        <w:t xml:space="preserve"> of the code will result in </w:t>
      </w:r>
      <w:r w:rsidR="00EA2EA2">
        <w:rPr>
          <w:rFonts w:ascii="Times New Roman" w:eastAsia="Times New Roman" w:hAnsi="Times New Roman"/>
          <w:i/>
          <w:iCs/>
          <w:sz w:val="24"/>
          <w:szCs w:val="24"/>
          <w:lang w:val="en"/>
        </w:rPr>
        <w:t>unreliable</w:t>
      </w:r>
      <w:r w:rsidR="00336F66">
        <w:rPr>
          <w:rFonts w:ascii="Times New Roman" w:eastAsia="Times New Roman" w:hAnsi="Times New Roman"/>
          <w:i/>
          <w:iCs/>
          <w:sz w:val="24"/>
          <w:szCs w:val="24"/>
          <w:lang w:val="en"/>
        </w:rPr>
        <w:t xml:space="preserve"> statistics. </w:t>
      </w:r>
    </w:p>
    <w:p w14:paraId="1FD31A2F" w14:textId="77777777" w:rsidR="00CC438B" w:rsidRDefault="00CC438B" w:rsidP="00BF7D23">
      <w:pPr>
        <w:rPr>
          <w:rFonts w:ascii="Times New Roman" w:eastAsia="Times New Roman" w:hAnsi="Times New Roman"/>
          <w:i/>
          <w:iCs/>
          <w:sz w:val="24"/>
          <w:szCs w:val="24"/>
          <w:lang w:val="en"/>
        </w:rPr>
      </w:pPr>
    </w:p>
    <w:p w14:paraId="7F9A9516" w14:textId="2BE1E8FD" w:rsidR="00BA0175" w:rsidRPr="00313049" w:rsidRDefault="00BA0175" w:rsidP="00BA0175">
      <w:pPr>
        <w:shd w:val="clear" w:color="auto" w:fill="FFFFFF"/>
        <w:spacing w:after="240"/>
        <w:rPr>
          <w:rFonts w:ascii="Times New Roman" w:eastAsia="Times New Roman" w:hAnsi="Times New Roman"/>
          <w:sz w:val="24"/>
          <w:szCs w:val="24"/>
          <w:lang w:val="en"/>
        </w:rPr>
      </w:pPr>
      <w:r w:rsidRPr="00035410">
        <w:rPr>
          <w:rFonts w:ascii="Times New Roman" w:eastAsia="Times New Roman" w:hAnsi="Times New Roman"/>
          <w:sz w:val="24"/>
          <w:szCs w:val="24"/>
          <w:lang w:val="en"/>
        </w:rPr>
        <w:t>(f)</w:t>
      </w:r>
      <w:r w:rsidRPr="00313049">
        <w:rPr>
          <w:rFonts w:ascii="Times New Roman" w:eastAsia="Times New Roman" w:hAnsi="Times New Roman"/>
          <w:sz w:val="24"/>
          <w:szCs w:val="24"/>
          <w:lang w:val="en"/>
        </w:rPr>
        <w:t xml:space="preserve"> </w:t>
      </w:r>
      <w:r w:rsidRPr="00313049">
        <w:rPr>
          <w:rFonts w:ascii="Times New Roman" w:eastAsia="Times New Roman" w:hAnsi="Times New Roman"/>
          <w:sz w:val="24"/>
          <w:szCs w:val="24"/>
          <w:highlight w:val="yellow"/>
          <w:u w:val="single"/>
          <w:lang w:val="en"/>
        </w:rPr>
        <w:t>Amendments t</w:t>
      </w:r>
      <w:r w:rsidRPr="000232A6">
        <w:rPr>
          <w:rFonts w:ascii="Times New Roman" w:eastAsia="Times New Roman" w:hAnsi="Times New Roman"/>
          <w:sz w:val="24"/>
          <w:szCs w:val="24"/>
          <w:highlight w:val="yellow"/>
          <w:u w:val="single"/>
          <w:lang w:val="en"/>
        </w:rPr>
        <w:t>o</w:t>
      </w:r>
      <w:r w:rsidR="000232A6" w:rsidRPr="000232A6">
        <w:rPr>
          <w:rFonts w:ascii="Times New Roman" w:eastAsia="Times New Roman" w:hAnsi="Times New Roman"/>
          <w:sz w:val="24"/>
          <w:szCs w:val="24"/>
          <w:highlight w:val="yellow"/>
          <w:u w:val="single"/>
          <w:lang w:val="en"/>
        </w:rPr>
        <w:t xml:space="preserve"> </w:t>
      </w:r>
      <w:proofErr w:type="spellStart"/>
      <w:r w:rsidR="000232A6" w:rsidRPr="000232A6">
        <w:rPr>
          <w:rFonts w:ascii="Times New Roman" w:eastAsia="Times New Roman" w:hAnsi="Times New Roman"/>
          <w:strike/>
          <w:sz w:val="24"/>
          <w:szCs w:val="24"/>
          <w:highlight w:val="yellow"/>
          <w:u w:val="single"/>
          <w:lang w:val="en"/>
        </w:rPr>
        <w:t>T</w:t>
      </w:r>
      <w:r w:rsidRPr="000232A6">
        <w:rPr>
          <w:rFonts w:ascii="Times New Roman" w:eastAsia="Times New Roman" w:hAnsi="Times New Roman"/>
          <w:sz w:val="24"/>
          <w:szCs w:val="24"/>
          <w:highlight w:val="yellow"/>
          <w:u w:val="single"/>
          <w:lang w:val="en"/>
        </w:rPr>
        <w:t>t</w:t>
      </w:r>
      <w:r w:rsidRPr="000232A6">
        <w:rPr>
          <w:rFonts w:ascii="Times New Roman" w:eastAsia="Times New Roman" w:hAnsi="Times New Roman"/>
          <w:sz w:val="24"/>
          <w:szCs w:val="24"/>
          <w:highlight w:val="yellow"/>
          <w:lang w:val="en"/>
        </w:rPr>
        <w:t>h</w:t>
      </w:r>
      <w:r w:rsidRPr="00313049">
        <w:rPr>
          <w:rFonts w:ascii="Times New Roman" w:eastAsia="Times New Roman" w:hAnsi="Times New Roman"/>
          <w:sz w:val="24"/>
          <w:szCs w:val="24"/>
          <w:lang w:val="en"/>
        </w:rPr>
        <w:t>is</w:t>
      </w:r>
      <w:proofErr w:type="spellEnd"/>
      <w:r w:rsidRPr="00313049">
        <w:rPr>
          <w:rFonts w:ascii="Times New Roman" w:eastAsia="Times New Roman" w:hAnsi="Times New Roman"/>
          <w:sz w:val="24"/>
          <w:szCs w:val="24"/>
          <w:lang w:val="en"/>
        </w:rPr>
        <w:t xml:space="preserve"> section shall be effective as of </w:t>
      </w:r>
      <w:proofErr w:type="gramStart"/>
      <w:r w:rsidRPr="00443A97">
        <w:rPr>
          <w:rFonts w:ascii="Times New Roman" w:eastAsia="Times New Roman" w:hAnsi="Times New Roman"/>
          <w:sz w:val="24"/>
          <w:szCs w:val="24"/>
          <w:lang w:val="en"/>
        </w:rPr>
        <w:t>April 1, 2021</w:t>
      </w:r>
      <w:r w:rsidR="00035410" w:rsidRPr="00035410">
        <w:rPr>
          <w:rFonts w:ascii="Times New Roman" w:eastAsia="Times New Roman" w:hAnsi="Times New Roman"/>
          <w:sz w:val="24"/>
          <w:szCs w:val="24"/>
          <w:highlight w:val="yellow"/>
          <w:u w:val="single"/>
          <w:lang w:val="en"/>
        </w:rPr>
        <w:t>,</w:t>
      </w:r>
      <w:r w:rsidRPr="00313049">
        <w:rPr>
          <w:rFonts w:ascii="Times New Roman" w:eastAsia="Times New Roman" w:hAnsi="Times New Roman"/>
          <w:sz w:val="24"/>
          <w:szCs w:val="24"/>
          <w:lang w:val="en"/>
        </w:rPr>
        <w:t xml:space="preserve"> and</w:t>
      </w:r>
      <w:proofErr w:type="gramEnd"/>
      <w:r w:rsidRPr="00313049">
        <w:rPr>
          <w:rFonts w:ascii="Times New Roman" w:eastAsia="Times New Roman" w:hAnsi="Times New Roman"/>
          <w:sz w:val="24"/>
          <w:szCs w:val="24"/>
          <w:u w:val="single"/>
          <w:lang w:val="en"/>
        </w:rPr>
        <w:t xml:space="preserve"> </w:t>
      </w:r>
      <w:r w:rsidRPr="00313049">
        <w:rPr>
          <w:rFonts w:ascii="Times New Roman" w:eastAsia="Times New Roman" w:hAnsi="Times New Roman"/>
          <w:sz w:val="24"/>
          <w:szCs w:val="24"/>
          <w:lang w:val="en"/>
        </w:rPr>
        <w:t>shall apply to the following: (1) medical-legal evaluation reports where the examination occurs on or after April 1,</w:t>
      </w:r>
      <w:r w:rsidRPr="00313049">
        <w:rPr>
          <w:rFonts w:ascii="Times New Roman" w:eastAsia="Times New Roman" w:hAnsi="Times New Roman"/>
          <w:sz w:val="24"/>
          <w:szCs w:val="24"/>
          <w:u w:val="single"/>
          <w:lang w:val="en"/>
        </w:rPr>
        <w:t xml:space="preserve"> </w:t>
      </w:r>
      <w:r w:rsidRPr="00313049">
        <w:rPr>
          <w:rFonts w:ascii="Times New Roman" w:eastAsia="Times New Roman" w:hAnsi="Times New Roman"/>
          <w:sz w:val="24"/>
          <w:szCs w:val="24"/>
          <w:lang w:val="en"/>
        </w:rPr>
        <w:t xml:space="preserve">2021; (2) medical-legal testimony provided on or after April 1, 2021; and (3) supplemental medical-legal reports that are requested on or after April 1, 2021 regardless of the date of the original examination. </w:t>
      </w:r>
      <w:r w:rsidR="00B3109F" w:rsidRPr="00626B69">
        <w:rPr>
          <w:rFonts w:ascii="Times New Roman" w:eastAsia="Times New Roman" w:hAnsi="Times New Roman"/>
          <w:sz w:val="24"/>
          <w:szCs w:val="24"/>
          <w:highlight w:val="yellow"/>
          <w:u w:val="single"/>
          <w:lang w:val="en"/>
        </w:rPr>
        <w:t xml:space="preserve">Amendments to this section related to the </w:t>
      </w:r>
      <w:r w:rsidR="00E348E3" w:rsidRPr="00626B69">
        <w:rPr>
          <w:rFonts w:ascii="Times New Roman" w:eastAsia="Times New Roman" w:hAnsi="Times New Roman"/>
          <w:sz w:val="24"/>
          <w:szCs w:val="24"/>
          <w:highlight w:val="yellow"/>
          <w:u w:val="single"/>
          <w:lang w:val="en"/>
        </w:rPr>
        <w:t>reimbursement</w:t>
      </w:r>
      <w:r w:rsidR="00B3109F" w:rsidRPr="00626B69">
        <w:rPr>
          <w:rFonts w:ascii="Times New Roman" w:eastAsia="Times New Roman" w:hAnsi="Times New Roman"/>
          <w:sz w:val="24"/>
          <w:szCs w:val="24"/>
          <w:highlight w:val="yellow"/>
          <w:u w:val="single"/>
          <w:lang w:val="en"/>
        </w:rPr>
        <w:t xml:space="preserve"> for</w:t>
      </w:r>
      <w:r w:rsidR="00E348E3" w:rsidRPr="00626B69">
        <w:rPr>
          <w:rFonts w:ascii="Times New Roman" w:eastAsia="Times New Roman" w:hAnsi="Times New Roman"/>
          <w:sz w:val="24"/>
          <w:szCs w:val="24"/>
          <w:highlight w:val="yellow"/>
          <w:u w:val="single"/>
          <w:lang w:val="en"/>
        </w:rPr>
        <w:t xml:space="preserve"> excess</w:t>
      </w:r>
      <w:r w:rsidR="00B3109F" w:rsidRPr="00626B69">
        <w:rPr>
          <w:rFonts w:ascii="Times New Roman" w:eastAsia="Times New Roman" w:hAnsi="Times New Roman"/>
          <w:sz w:val="24"/>
          <w:szCs w:val="24"/>
          <w:highlight w:val="yellow"/>
          <w:u w:val="single"/>
          <w:lang w:val="en"/>
        </w:rPr>
        <w:t xml:space="preserve"> per page record review </w:t>
      </w:r>
      <w:r w:rsidR="00E348E3" w:rsidRPr="00626B69">
        <w:rPr>
          <w:rFonts w:ascii="Times New Roman" w:eastAsia="Times New Roman" w:hAnsi="Times New Roman"/>
          <w:sz w:val="24"/>
          <w:szCs w:val="24"/>
          <w:highlight w:val="yellow"/>
          <w:u w:val="single"/>
          <w:lang w:val="en"/>
        </w:rPr>
        <w:t>shall remain in effect only until April 1, 2023, and as of that date are repealed.</w:t>
      </w:r>
    </w:p>
    <w:p w14:paraId="487B4315" w14:textId="77777777" w:rsidR="00313049" w:rsidRDefault="00313049" w:rsidP="00160446">
      <w:pPr>
        <w:spacing w:after="0"/>
        <w:rPr>
          <w:rFonts w:ascii="Times New Roman" w:eastAsia="Times New Roman" w:hAnsi="Times New Roman"/>
          <w:b/>
          <w:bCs/>
          <w:sz w:val="24"/>
          <w:szCs w:val="24"/>
          <w:lang w:val="en"/>
        </w:rPr>
      </w:pPr>
      <w:r w:rsidRPr="0059584B">
        <w:rPr>
          <w:rFonts w:ascii="Times New Roman" w:eastAsia="Times New Roman" w:hAnsi="Times New Roman"/>
          <w:b/>
          <w:bCs/>
          <w:sz w:val="24"/>
          <w:szCs w:val="24"/>
          <w:lang w:val="en"/>
        </w:rPr>
        <w:t>Discussion:</w:t>
      </w:r>
    </w:p>
    <w:p w14:paraId="57D3A5BA" w14:textId="2DF0A981" w:rsidR="00AE0CBF" w:rsidRDefault="00443A97" w:rsidP="00BF7D23">
      <w:pPr>
        <w:rPr>
          <w:rFonts w:ascii="Times New Roman" w:eastAsia="Times New Roman" w:hAnsi="Times New Roman"/>
          <w:i/>
          <w:iCs/>
          <w:sz w:val="24"/>
          <w:szCs w:val="24"/>
          <w:lang w:val="en"/>
        </w:rPr>
      </w:pPr>
      <w:r>
        <w:rPr>
          <w:rFonts w:ascii="Times New Roman" w:eastAsia="Times New Roman" w:hAnsi="Times New Roman"/>
          <w:i/>
          <w:iCs/>
          <w:sz w:val="24"/>
          <w:szCs w:val="24"/>
          <w:lang w:val="en"/>
        </w:rPr>
        <w:t xml:space="preserve">Substantive changes made to section 9795 warrant clarification that amended language and rates do not apply to medical-legal services prior to April 1, 2021.  Providers of medical-legal services, as well as </w:t>
      </w:r>
      <w:r w:rsidR="00183F37">
        <w:rPr>
          <w:rFonts w:ascii="Times New Roman" w:eastAsia="Times New Roman" w:hAnsi="Times New Roman"/>
          <w:i/>
          <w:iCs/>
          <w:sz w:val="24"/>
          <w:szCs w:val="24"/>
          <w:lang w:val="en"/>
        </w:rPr>
        <w:t>claims administrators</w:t>
      </w:r>
      <w:r>
        <w:rPr>
          <w:rFonts w:ascii="Times New Roman" w:eastAsia="Times New Roman" w:hAnsi="Times New Roman"/>
          <w:i/>
          <w:iCs/>
          <w:sz w:val="24"/>
          <w:szCs w:val="24"/>
          <w:lang w:val="en"/>
        </w:rPr>
        <w:t>, independent bill reviewers providing IBR services, and WCAB judges, must rely on clearly defined dates for all proposed changes for these regulations.</w:t>
      </w:r>
    </w:p>
    <w:p w14:paraId="45CE90BC" w14:textId="77777777" w:rsidR="00ED7F75" w:rsidRDefault="00B3109F" w:rsidP="00B3109F">
      <w:pPr>
        <w:shd w:val="clear" w:color="auto" w:fill="FFFFFF"/>
        <w:spacing w:line="240" w:lineRule="auto"/>
        <w:rPr>
          <w:rFonts w:ascii="Times New Roman" w:eastAsia="Times New Roman" w:hAnsi="Times New Roman"/>
          <w:bCs/>
          <w:color w:val="252525"/>
          <w:sz w:val="24"/>
          <w:szCs w:val="24"/>
          <w:lang w:val="en"/>
        </w:rPr>
      </w:pPr>
      <w:r w:rsidRPr="00523AA8">
        <w:rPr>
          <w:rFonts w:ascii="Times New Roman" w:eastAsia="Times New Roman" w:hAnsi="Times New Roman"/>
          <w:bCs/>
          <w:i/>
          <w:iCs/>
          <w:color w:val="252525"/>
          <w:sz w:val="24"/>
          <w:szCs w:val="24"/>
          <w:lang w:val="en"/>
        </w:rPr>
        <w:t xml:space="preserve">The per-page records review charge is an integral </w:t>
      </w:r>
      <w:r>
        <w:rPr>
          <w:rFonts w:ascii="Times New Roman" w:eastAsia="Times New Roman" w:hAnsi="Times New Roman"/>
          <w:bCs/>
          <w:i/>
          <w:iCs/>
          <w:color w:val="252525"/>
          <w:sz w:val="24"/>
          <w:szCs w:val="24"/>
          <w:lang w:val="en"/>
        </w:rPr>
        <w:t xml:space="preserve">component </w:t>
      </w:r>
      <w:r w:rsidRPr="00523AA8">
        <w:rPr>
          <w:rFonts w:ascii="Times New Roman" w:eastAsia="Times New Roman" w:hAnsi="Times New Roman"/>
          <w:bCs/>
          <w:i/>
          <w:iCs/>
          <w:color w:val="252525"/>
          <w:sz w:val="24"/>
          <w:szCs w:val="24"/>
          <w:lang w:val="en"/>
        </w:rPr>
        <w:t xml:space="preserve">of these proposed regulations.  During the stakeholder meetings held over several months, all participants recognized that a per-page charge could only be implemented if made in conjunction with a Records Organizer that would act as a clearinghouse and gateway.  The Institute understands that the Division may believe that it does not have sufficient authority to regulate a new process such as this, and that formal legislation would have to be enacted.  Because of the current health pandemic, </w:t>
      </w:r>
      <w:r w:rsidR="00FC0C02">
        <w:rPr>
          <w:rFonts w:ascii="Times New Roman" w:eastAsia="Times New Roman" w:hAnsi="Times New Roman"/>
          <w:bCs/>
          <w:i/>
          <w:iCs/>
          <w:color w:val="252525"/>
          <w:sz w:val="24"/>
          <w:szCs w:val="24"/>
          <w:lang w:val="en"/>
        </w:rPr>
        <w:t>it is n</w:t>
      </w:r>
      <w:r w:rsidR="00FC0C02" w:rsidRPr="00BB0B87">
        <w:rPr>
          <w:rFonts w:ascii="Times New Roman" w:eastAsia="Times New Roman" w:hAnsi="Times New Roman"/>
          <w:bCs/>
          <w:i/>
          <w:iCs/>
          <w:color w:val="252525"/>
          <w:sz w:val="24"/>
          <w:szCs w:val="24"/>
          <w:lang w:val="en"/>
        </w:rPr>
        <w:t xml:space="preserve">ot clear whether the </w:t>
      </w:r>
      <w:r w:rsidR="00FC0C02" w:rsidRPr="00540157">
        <w:rPr>
          <w:rFonts w:ascii="Times New Roman" w:eastAsia="Times New Roman" w:hAnsi="Times New Roman"/>
          <w:bCs/>
          <w:i/>
          <w:iCs/>
          <w:color w:val="252525"/>
          <w:sz w:val="24"/>
          <w:szCs w:val="24"/>
          <w:lang w:val="en"/>
        </w:rPr>
        <w:t>legislature</w:t>
      </w:r>
      <w:r w:rsidR="00FC0C02" w:rsidRPr="00BB0B87">
        <w:rPr>
          <w:rFonts w:ascii="Times New Roman" w:eastAsia="Times New Roman" w:hAnsi="Times New Roman"/>
          <w:bCs/>
          <w:i/>
          <w:iCs/>
          <w:color w:val="252525"/>
          <w:sz w:val="24"/>
          <w:szCs w:val="24"/>
          <w:lang w:val="en"/>
        </w:rPr>
        <w:t xml:space="preserve"> will have the time to take this up given other urgent priorities</w:t>
      </w:r>
      <w:r w:rsidR="00BB0B87" w:rsidRPr="00BB0B87">
        <w:rPr>
          <w:rFonts w:ascii="Times New Roman" w:eastAsia="Times New Roman" w:hAnsi="Times New Roman"/>
          <w:bCs/>
          <w:i/>
          <w:iCs/>
          <w:color w:val="252525"/>
          <w:sz w:val="24"/>
          <w:szCs w:val="24"/>
          <w:lang w:val="en"/>
        </w:rPr>
        <w:t>.</w:t>
      </w:r>
      <w:r w:rsidRPr="00523AA8">
        <w:rPr>
          <w:rFonts w:ascii="Times New Roman" w:eastAsia="Times New Roman" w:hAnsi="Times New Roman"/>
          <w:bCs/>
          <w:i/>
          <w:iCs/>
          <w:color w:val="252525"/>
          <w:sz w:val="24"/>
          <w:szCs w:val="24"/>
          <w:lang w:val="en"/>
        </w:rPr>
        <w:t xml:space="preserve"> Accordingly, the Institute urges the Division to include a “sunset” clause in these proposed regulations, in order that the per-page charge might be tested and withdrawn if it is indeed unworkable without the Records Organizer concept being implemented concurrently</w:t>
      </w:r>
      <w:r w:rsidRPr="00383298">
        <w:rPr>
          <w:rFonts w:ascii="Times New Roman" w:eastAsia="Times New Roman" w:hAnsi="Times New Roman"/>
          <w:bCs/>
          <w:color w:val="252525"/>
          <w:sz w:val="24"/>
          <w:szCs w:val="24"/>
          <w:lang w:val="en"/>
        </w:rPr>
        <w:t>.</w:t>
      </w:r>
      <w:r w:rsidR="00BB0B87">
        <w:rPr>
          <w:rFonts w:ascii="Times New Roman" w:eastAsia="Times New Roman" w:hAnsi="Times New Roman"/>
          <w:bCs/>
          <w:color w:val="252525"/>
          <w:sz w:val="24"/>
          <w:szCs w:val="24"/>
          <w:lang w:val="en"/>
        </w:rPr>
        <w:t xml:space="preserve">  </w:t>
      </w:r>
    </w:p>
    <w:p w14:paraId="45348CC0" w14:textId="6EDA3FCD" w:rsidR="00B3109F" w:rsidRPr="00ED7F75" w:rsidRDefault="00BB0B87" w:rsidP="00B3109F">
      <w:pPr>
        <w:shd w:val="clear" w:color="auto" w:fill="FFFFFF"/>
        <w:spacing w:line="240" w:lineRule="auto"/>
        <w:rPr>
          <w:rFonts w:ascii="Times New Roman" w:eastAsia="Times New Roman" w:hAnsi="Times New Roman"/>
          <w:bCs/>
          <w:i/>
          <w:iCs/>
          <w:color w:val="252525"/>
          <w:sz w:val="24"/>
          <w:szCs w:val="24"/>
          <w:lang w:val="en"/>
        </w:rPr>
      </w:pPr>
      <w:r w:rsidRPr="00ED7F75">
        <w:rPr>
          <w:rFonts w:ascii="Times New Roman" w:eastAsia="Times New Roman" w:hAnsi="Times New Roman"/>
          <w:bCs/>
          <w:i/>
          <w:iCs/>
          <w:color w:val="252525"/>
          <w:sz w:val="24"/>
          <w:szCs w:val="24"/>
          <w:lang w:val="en"/>
        </w:rPr>
        <w:t>A concurrent voluntary pilot program utilizing a Records Organizer would provide the Division with the necessary information to incorporate into new mandatory regulations after the appropriate legislative authority is secured.</w:t>
      </w:r>
    </w:p>
    <w:p w14:paraId="33404F72" w14:textId="77777777" w:rsidR="00B3109F" w:rsidRPr="009B7EC0" w:rsidRDefault="00B3109F" w:rsidP="00BF7D23">
      <w:pPr>
        <w:rPr>
          <w:rFonts w:ascii="Times New Roman" w:eastAsia="Times New Roman" w:hAnsi="Times New Roman"/>
          <w:i/>
          <w:iCs/>
          <w:sz w:val="24"/>
          <w:szCs w:val="24"/>
          <w:lang w:val="en"/>
        </w:rPr>
      </w:pPr>
    </w:p>
    <w:p w14:paraId="0263D542" w14:textId="77F0D970" w:rsidR="00DC1461" w:rsidRPr="00183F37" w:rsidRDefault="00DC1461" w:rsidP="006B6862">
      <w:pPr>
        <w:rPr>
          <w:rFonts w:ascii="Times New Roman" w:eastAsia="Times New Roman" w:hAnsi="Times New Roman"/>
          <w:color w:val="212121"/>
          <w:sz w:val="24"/>
          <w:szCs w:val="24"/>
          <w:lang w:val="en"/>
        </w:rPr>
      </w:pPr>
      <w:r w:rsidRPr="00DC1461">
        <w:rPr>
          <w:rFonts w:ascii="Times New Roman" w:eastAsia="Times New Roman" w:hAnsi="Times New Roman"/>
          <w:color w:val="212121"/>
          <w:sz w:val="24"/>
          <w:szCs w:val="24"/>
          <w:lang w:val="en"/>
        </w:rPr>
        <w:t xml:space="preserve">(g) </w:t>
      </w:r>
      <w:r w:rsidRPr="00DC1461">
        <w:rPr>
          <w:rFonts w:ascii="Times New Roman" w:eastAsia="Times New Roman" w:hAnsi="Times New Roman"/>
          <w:strike/>
          <w:color w:val="212121"/>
          <w:sz w:val="24"/>
          <w:szCs w:val="24"/>
          <w:highlight w:val="yellow"/>
          <w:lang w:val="en"/>
        </w:rPr>
        <w:t>Nothing in this regulation affects the operation of</w:t>
      </w:r>
      <w:r w:rsidR="00AE0CBF" w:rsidRPr="00AE0CBF">
        <w:rPr>
          <w:rFonts w:ascii="Times New Roman" w:eastAsia="Times New Roman" w:hAnsi="Times New Roman"/>
          <w:strike/>
          <w:color w:val="212121"/>
          <w:sz w:val="24"/>
          <w:szCs w:val="24"/>
          <w:highlight w:val="yellow"/>
          <w:lang w:val="en"/>
        </w:rPr>
        <w:t xml:space="preserve"> Labor Code section 5307.6</w:t>
      </w:r>
      <w:r w:rsidRPr="00DC1461">
        <w:rPr>
          <w:rFonts w:ascii="Times New Roman" w:eastAsia="Times New Roman" w:hAnsi="Times New Roman"/>
          <w:color w:val="212121"/>
          <w:sz w:val="24"/>
          <w:szCs w:val="24"/>
          <w:lang w:val="en"/>
        </w:rPr>
        <w:t xml:space="preserve"> </w:t>
      </w:r>
      <w:r w:rsidRPr="00DC1461">
        <w:rPr>
          <w:rFonts w:ascii="Times New Roman" w:eastAsia="Times New Roman" w:hAnsi="Times New Roman"/>
          <w:color w:val="212121"/>
          <w:sz w:val="24"/>
          <w:szCs w:val="24"/>
          <w:highlight w:val="yellow"/>
          <w:u w:val="single"/>
          <w:lang w:val="en"/>
        </w:rPr>
        <w:t xml:space="preserve">The term “extraordinary </w:t>
      </w:r>
      <w:r w:rsidRPr="00AE0CBF">
        <w:rPr>
          <w:rFonts w:ascii="Times New Roman" w:eastAsia="Times New Roman" w:hAnsi="Times New Roman"/>
          <w:color w:val="212121"/>
          <w:sz w:val="24"/>
          <w:szCs w:val="24"/>
          <w:highlight w:val="yellow"/>
          <w:u w:val="single"/>
          <w:lang w:val="en"/>
        </w:rPr>
        <w:t xml:space="preserve">circumstances” as set </w:t>
      </w:r>
      <w:r w:rsidRPr="00183F37">
        <w:rPr>
          <w:rFonts w:ascii="Times New Roman" w:eastAsia="Times New Roman" w:hAnsi="Times New Roman"/>
          <w:color w:val="212121"/>
          <w:sz w:val="24"/>
          <w:szCs w:val="24"/>
          <w:highlight w:val="yellow"/>
          <w:u w:val="single"/>
          <w:lang w:val="en"/>
        </w:rPr>
        <w:t>forth in</w:t>
      </w:r>
      <w:r w:rsidR="00AE0CBF" w:rsidRPr="00183F37">
        <w:rPr>
          <w:rFonts w:ascii="Times New Roman" w:eastAsia="Times New Roman" w:hAnsi="Times New Roman"/>
          <w:color w:val="212121"/>
          <w:sz w:val="24"/>
          <w:szCs w:val="24"/>
          <w:highlight w:val="yellow"/>
          <w:u w:val="single"/>
          <w:lang w:val="en"/>
        </w:rPr>
        <w:t xml:space="preserve"> Labor Code section 5703.6(b) </w:t>
      </w:r>
      <w:r w:rsidRPr="00183F37">
        <w:rPr>
          <w:rFonts w:ascii="Times New Roman" w:eastAsia="Times New Roman" w:hAnsi="Times New Roman"/>
          <w:color w:val="212121"/>
          <w:sz w:val="24"/>
          <w:szCs w:val="24"/>
          <w:highlight w:val="yellow"/>
          <w:u w:val="single"/>
          <w:lang w:val="en"/>
        </w:rPr>
        <w:t xml:space="preserve">shall be limited to </w:t>
      </w:r>
      <w:r w:rsidRPr="00183F37">
        <w:rPr>
          <w:rFonts w:ascii="Times New Roman" w:eastAsia="Times New Roman" w:hAnsi="Times New Roman"/>
          <w:color w:val="212121"/>
          <w:sz w:val="24"/>
          <w:szCs w:val="24"/>
          <w:highlight w:val="yellow"/>
          <w:u w:val="single"/>
        </w:rPr>
        <w:t xml:space="preserve">evaluations performed </w:t>
      </w:r>
      <w:r w:rsidR="00AE0CBF" w:rsidRPr="00183F37">
        <w:rPr>
          <w:rFonts w:ascii="Times New Roman" w:eastAsia="Times New Roman" w:hAnsi="Times New Roman"/>
          <w:color w:val="212121"/>
          <w:sz w:val="24"/>
          <w:szCs w:val="24"/>
          <w:highlight w:val="yellow"/>
          <w:u w:val="single"/>
        </w:rPr>
        <w:t>in the fields of</w:t>
      </w:r>
      <w:r w:rsidRPr="00183F37">
        <w:rPr>
          <w:rFonts w:ascii="Times New Roman" w:eastAsia="Times New Roman" w:hAnsi="Times New Roman"/>
          <w:color w:val="212121"/>
          <w:sz w:val="24"/>
          <w:szCs w:val="24"/>
          <w:highlight w:val="yellow"/>
          <w:u w:val="single"/>
        </w:rPr>
        <w:t xml:space="preserve"> psychiatry/psychology, oncology, or toxicology</w:t>
      </w:r>
      <w:r w:rsidR="00AE0CBF" w:rsidRPr="00183F37">
        <w:rPr>
          <w:rFonts w:ascii="Times New Roman" w:eastAsia="Times New Roman" w:hAnsi="Times New Roman"/>
          <w:color w:val="212121"/>
          <w:sz w:val="24"/>
          <w:szCs w:val="24"/>
          <w:highlight w:val="yellow"/>
          <w:u w:val="single"/>
        </w:rPr>
        <w:t xml:space="preserve">, </w:t>
      </w:r>
      <w:r w:rsidR="006B6862" w:rsidRPr="00183F37">
        <w:rPr>
          <w:rFonts w:ascii="Times New Roman" w:hAnsi="Times New Roman"/>
          <w:sz w:val="24"/>
          <w:szCs w:val="24"/>
          <w:highlight w:val="yellow"/>
          <w:u w:val="single"/>
        </w:rPr>
        <w:t xml:space="preserve">as performed by specialists with the corresponding Board Certification, </w:t>
      </w:r>
      <w:r w:rsidR="00AE0CBF" w:rsidRPr="00183F37">
        <w:rPr>
          <w:rFonts w:ascii="Times New Roman" w:eastAsia="Times New Roman" w:hAnsi="Times New Roman"/>
          <w:color w:val="212121"/>
          <w:sz w:val="24"/>
          <w:szCs w:val="24"/>
          <w:highlight w:val="yellow"/>
          <w:u w:val="single"/>
        </w:rPr>
        <w:t>and shall be reimbursed according to the modifiers set forth in this section</w:t>
      </w:r>
      <w:r w:rsidRPr="00183F37">
        <w:rPr>
          <w:rFonts w:ascii="Times New Roman" w:eastAsia="Times New Roman" w:hAnsi="Times New Roman"/>
          <w:color w:val="212121"/>
          <w:sz w:val="24"/>
          <w:szCs w:val="24"/>
          <w:lang w:val="en"/>
        </w:rPr>
        <w:t>.</w:t>
      </w:r>
    </w:p>
    <w:p w14:paraId="615F88BE" w14:textId="77777777" w:rsidR="00DC1461" w:rsidRDefault="00DC1461" w:rsidP="00DC1461">
      <w:pPr>
        <w:rPr>
          <w:rFonts w:ascii="Times New Roman" w:eastAsia="Times New Roman" w:hAnsi="Times New Roman"/>
          <w:b/>
          <w:bCs/>
          <w:sz w:val="24"/>
          <w:szCs w:val="24"/>
          <w:lang w:val="en"/>
        </w:rPr>
      </w:pPr>
      <w:r w:rsidRPr="0059584B">
        <w:rPr>
          <w:rFonts w:ascii="Times New Roman" w:eastAsia="Times New Roman" w:hAnsi="Times New Roman"/>
          <w:b/>
          <w:bCs/>
          <w:sz w:val="24"/>
          <w:szCs w:val="24"/>
          <w:lang w:val="en"/>
        </w:rPr>
        <w:t>Discussion:</w:t>
      </w:r>
    </w:p>
    <w:p w14:paraId="290DBCBD" w14:textId="2290D9FE" w:rsidR="00DC1461" w:rsidRDefault="00DC1461" w:rsidP="00DC1461">
      <w:pPr>
        <w:rPr>
          <w:rFonts w:ascii="Times New Roman" w:eastAsia="Times New Roman" w:hAnsi="Times New Roman"/>
          <w:i/>
          <w:iCs/>
          <w:sz w:val="24"/>
          <w:szCs w:val="24"/>
          <w:lang w:val="en"/>
        </w:rPr>
      </w:pPr>
      <w:r>
        <w:rPr>
          <w:rFonts w:ascii="Times New Roman" w:eastAsia="Times New Roman" w:hAnsi="Times New Roman"/>
          <w:i/>
          <w:iCs/>
          <w:sz w:val="24"/>
          <w:szCs w:val="24"/>
          <w:lang w:val="en"/>
        </w:rPr>
        <w:t>The stakeholder discussion</w:t>
      </w:r>
      <w:r w:rsidR="00AE0CBF">
        <w:rPr>
          <w:rFonts w:ascii="Times New Roman" w:eastAsia="Times New Roman" w:hAnsi="Times New Roman"/>
          <w:i/>
          <w:iCs/>
          <w:sz w:val="24"/>
          <w:szCs w:val="24"/>
          <w:lang w:val="en"/>
        </w:rPr>
        <w:t xml:space="preserve"> participants</w:t>
      </w:r>
      <w:r>
        <w:rPr>
          <w:rFonts w:ascii="Times New Roman" w:eastAsia="Times New Roman" w:hAnsi="Times New Roman"/>
          <w:i/>
          <w:iCs/>
          <w:sz w:val="24"/>
          <w:szCs w:val="24"/>
          <w:lang w:val="en"/>
        </w:rPr>
        <w:t xml:space="preserve"> were united </w:t>
      </w:r>
      <w:r w:rsidR="00AE0CBF">
        <w:rPr>
          <w:rFonts w:ascii="Times New Roman" w:eastAsia="Times New Roman" w:hAnsi="Times New Roman"/>
          <w:i/>
          <w:iCs/>
          <w:sz w:val="24"/>
          <w:szCs w:val="24"/>
          <w:lang w:val="en"/>
        </w:rPr>
        <w:t xml:space="preserve">behind a limitation to the statutory opportunity to circumvent the fee schedule.  </w:t>
      </w:r>
      <w:proofErr w:type="gramStart"/>
      <w:r w:rsidR="00183D61">
        <w:rPr>
          <w:rFonts w:ascii="Times New Roman" w:eastAsia="Times New Roman" w:hAnsi="Times New Roman"/>
          <w:i/>
          <w:iCs/>
          <w:sz w:val="24"/>
          <w:szCs w:val="24"/>
          <w:lang w:val="en"/>
        </w:rPr>
        <w:t>Following extensive discussion, there</w:t>
      </w:r>
      <w:proofErr w:type="gramEnd"/>
      <w:r w:rsidR="00183D61">
        <w:rPr>
          <w:rFonts w:ascii="Times New Roman" w:eastAsia="Times New Roman" w:hAnsi="Times New Roman"/>
          <w:i/>
          <w:iCs/>
          <w:sz w:val="24"/>
          <w:szCs w:val="24"/>
          <w:lang w:val="en"/>
        </w:rPr>
        <w:t xml:space="preserve"> was general </w:t>
      </w:r>
      <w:r w:rsidR="00183D61">
        <w:rPr>
          <w:rFonts w:ascii="Times New Roman" w:eastAsia="Times New Roman" w:hAnsi="Times New Roman"/>
          <w:i/>
          <w:iCs/>
          <w:sz w:val="24"/>
          <w:szCs w:val="24"/>
          <w:lang w:val="en"/>
        </w:rPr>
        <w:lastRenderedPageBreak/>
        <w:t xml:space="preserve">agreement that “extraordinary circumstances” should be defined as evaluations for psychiatry, psychology, oncology, and toxicology.  </w:t>
      </w:r>
      <w:r w:rsidR="00AE0CBF">
        <w:rPr>
          <w:rFonts w:ascii="Times New Roman" w:eastAsia="Times New Roman" w:hAnsi="Times New Roman"/>
          <w:i/>
          <w:iCs/>
          <w:sz w:val="24"/>
          <w:szCs w:val="24"/>
          <w:lang w:val="en"/>
        </w:rPr>
        <w:t xml:space="preserve">While the proposed modifiers of -96, -97, and -98 appropriately increase the reimbursement rate for these highly complex, specialized, and underrepresented fields, there needs to be a </w:t>
      </w:r>
      <w:r w:rsidR="00183D61">
        <w:rPr>
          <w:rFonts w:ascii="Times New Roman" w:eastAsia="Times New Roman" w:hAnsi="Times New Roman"/>
          <w:i/>
          <w:iCs/>
          <w:sz w:val="24"/>
          <w:szCs w:val="24"/>
          <w:lang w:val="en"/>
        </w:rPr>
        <w:t xml:space="preserve">defined restriction </w:t>
      </w:r>
      <w:proofErr w:type="gramStart"/>
      <w:r w:rsidR="00183D61">
        <w:rPr>
          <w:rFonts w:ascii="Times New Roman" w:eastAsia="Times New Roman" w:hAnsi="Times New Roman"/>
          <w:i/>
          <w:iCs/>
          <w:sz w:val="24"/>
          <w:szCs w:val="24"/>
          <w:lang w:val="en"/>
        </w:rPr>
        <w:t>in order to</w:t>
      </w:r>
      <w:proofErr w:type="gramEnd"/>
      <w:r w:rsidR="00183D61">
        <w:rPr>
          <w:rFonts w:ascii="Times New Roman" w:eastAsia="Times New Roman" w:hAnsi="Times New Roman"/>
          <w:i/>
          <w:iCs/>
          <w:sz w:val="24"/>
          <w:szCs w:val="24"/>
          <w:lang w:val="en"/>
        </w:rPr>
        <w:t xml:space="preserve"> avoid abusive practices.</w:t>
      </w:r>
      <w:r w:rsidR="00AE0CBF">
        <w:rPr>
          <w:rFonts w:ascii="Times New Roman" w:eastAsia="Times New Roman" w:hAnsi="Times New Roman"/>
          <w:i/>
          <w:iCs/>
          <w:sz w:val="24"/>
          <w:szCs w:val="24"/>
          <w:lang w:val="en"/>
        </w:rPr>
        <w:t xml:space="preserve"> </w:t>
      </w:r>
    </w:p>
    <w:p w14:paraId="571AEE81" w14:textId="548ACB78" w:rsidR="00DC1461" w:rsidRPr="0059584B" w:rsidRDefault="00DC1461" w:rsidP="00DC1461">
      <w:pPr>
        <w:rPr>
          <w:rFonts w:ascii="Times New Roman" w:eastAsia="Times New Roman" w:hAnsi="Times New Roman"/>
          <w:i/>
          <w:iCs/>
          <w:sz w:val="24"/>
          <w:szCs w:val="24"/>
          <w:lang w:val="en"/>
        </w:rPr>
      </w:pPr>
      <w:r>
        <w:rPr>
          <w:rFonts w:ascii="Times New Roman" w:eastAsia="Times New Roman" w:hAnsi="Times New Roman"/>
          <w:i/>
          <w:iCs/>
          <w:sz w:val="24"/>
          <w:szCs w:val="24"/>
          <w:lang w:val="en"/>
        </w:rPr>
        <w:t xml:space="preserve">Alternatively, a change in the Definition section at the outset of these amendments could accomplish the same result.  </w:t>
      </w:r>
    </w:p>
    <w:p w14:paraId="011FD37A" w14:textId="77777777" w:rsidR="006C38B4" w:rsidRDefault="006C38B4" w:rsidP="00A5137F">
      <w:pPr>
        <w:pStyle w:val="MessageHeader"/>
        <w:keepLines w:val="0"/>
        <w:tabs>
          <w:tab w:val="left" w:pos="900"/>
        </w:tabs>
        <w:spacing w:after="0" w:line="240" w:lineRule="auto"/>
        <w:ind w:left="0" w:firstLine="0"/>
        <w:rPr>
          <w:rFonts w:ascii="Times New Roman" w:hAnsi="Times New Roman"/>
          <w:sz w:val="24"/>
          <w:szCs w:val="24"/>
        </w:rPr>
      </w:pPr>
    </w:p>
    <w:p w14:paraId="59EE5AC0" w14:textId="77777777" w:rsidR="006C38B4" w:rsidRDefault="006C38B4"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3D009203" w:rsidR="00A5137F" w:rsidRPr="004541EA"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sidRPr="004541EA">
        <w:rPr>
          <w:rFonts w:ascii="Times New Roman" w:hAnsi="Times New Roman"/>
          <w:sz w:val="24"/>
          <w:szCs w:val="24"/>
        </w:rPr>
        <w:t>Thank you for the opportunity to comment, and please contact us if additional information would be helpful.</w:t>
      </w:r>
    </w:p>
    <w:p w14:paraId="4FE42AC4"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4410037E"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Sincerely, </w:t>
      </w:r>
    </w:p>
    <w:p w14:paraId="3562C9EC"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9E931B6"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59C5CD40" w14:textId="77777777" w:rsidR="002623FC" w:rsidRDefault="002623FC"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40382D59" w14:textId="77777777" w:rsidR="00035410" w:rsidRDefault="00035410"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Ellen Sims Langille, General Counsel</w:t>
      </w:r>
    </w:p>
    <w:p w14:paraId="51FDD512" w14:textId="35D57768" w:rsidR="00A5137F"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Stacy </w:t>
      </w:r>
      <w:r w:rsidR="00160446">
        <w:rPr>
          <w:rFonts w:ascii="Times New Roman" w:hAnsi="Times New Roman"/>
          <w:spacing w:val="0"/>
          <w:sz w:val="24"/>
          <w:szCs w:val="24"/>
        </w:rPr>
        <w:t xml:space="preserve">L. </w:t>
      </w:r>
      <w:r w:rsidRPr="004541EA">
        <w:rPr>
          <w:rFonts w:ascii="Times New Roman" w:hAnsi="Times New Roman"/>
          <w:spacing w:val="0"/>
          <w:sz w:val="24"/>
          <w:szCs w:val="24"/>
        </w:rPr>
        <w:t>Jones</w:t>
      </w:r>
      <w:r w:rsidR="000D190C">
        <w:rPr>
          <w:rFonts w:ascii="Times New Roman" w:hAnsi="Times New Roman"/>
          <w:spacing w:val="0"/>
          <w:sz w:val="24"/>
          <w:szCs w:val="24"/>
        </w:rPr>
        <w:t xml:space="preserve">, </w:t>
      </w:r>
      <w:r w:rsidRPr="004541EA">
        <w:rPr>
          <w:rFonts w:ascii="Times New Roman" w:hAnsi="Times New Roman"/>
          <w:spacing w:val="0"/>
          <w:sz w:val="24"/>
          <w:szCs w:val="24"/>
        </w:rPr>
        <w:t>Senior Research Associate</w:t>
      </w:r>
      <w:r w:rsidR="00A1511B" w:rsidRPr="004541EA">
        <w:rPr>
          <w:rFonts w:ascii="Times New Roman" w:hAnsi="Times New Roman"/>
          <w:spacing w:val="0"/>
          <w:sz w:val="24"/>
          <w:szCs w:val="24"/>
        </w:rPr>
        <w:t xml:space="preserve"> </w:t>
      </w:r>
    </w:p>
    <w:p w14:paraId="11E3EB35"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7C58FF56" w:rsidR="00A5137F" w:rsidRPr="00160446" w:rsidRDefault="00160446" w:rsidP="00A5137F">
      <w:pPr>
        <w:pStyle w:val="MessageHeader"/>
        <w:keepLines w:val="0"/>
        <w:tabs>
          <w:tab w:val="left" w:pos="900"/>
        </w:tabs>
        <w:spacing w:after="0" w:line="240" w:lineRule="auto"/>
        <w:ind w:left="0" w:firstLine="0"/>
        <w:rPr>
          <w:rFonts w:ascii="Times New Roman" w:hAnsi="Times New Roman"/>
          <w:spacing w:val="0"/>
        </w:rPr>
      </w:pPr>
      <w:r w:rsidRPr="00160446">
        <w:rPr>
          <w:rFonts w:ascii="Times New Roman" w:hAnsi="Times New Roman"/>
          <w:spacing w:val="0"/>
        </w:rPr>
        <w:t>ESL:</w:t>
      </w:r>
      <w:r w:rsidR="002623FC" w:rsidRPr="00160446">
        <w:rPr>
          <w:rFonts w:ascii="Times New Roman" w:hAnsi="Times New Roman"/>
          <w:spacing w:val="0"/>
        </w:rPr>
        <w:t>SLJ</w:t>
      </w:r>
      <w:r w:rsidR="00A5137F" w:rsidRPr="00160446">
        <w:rPr>
          <w:rFonts w:ascii="Times New Roman" w:hAnsi="Times New Roman"/>
          <w:spacing w:val="0"/>
        </w:rPr>
        <w:t>/pm</w:t>
      </w:r>
    </w:p>
    <w:p w14:paraId="2A6F8C35" w14:textId="77777777" w:rsidR="00A1511B" w:rsidRPr="002623FC"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452BC31" w14:textId="7EE5C192"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cc:  George Parisotto, DWC Administrative Director</w:t>
      </w:r>
    </w:p>
    <w:p w14:paraId="4F40044F" w14:textId="4D95B995" w:rsidR="000A07ED" w:rsidRPr="002623FC" w:rsidRDefault="000A07ED"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Katrina Hagen, DIR Executive Director</w:t>
      </w:r>
    </w:p>
    <w:p w14:paraId="150A5F86"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Claims Committee</w:t>
      </w:r>
    </w:p>
    <w:p w14:paraId="49FF423D"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Medical Care Committee</w:t>
      </w:r>
    </w:p>
    <w:p w14:paraId="609CFE97"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Legal Committee </w:t>
      </w:r>
    </w:p>
    <w:p w14:paraId="01DFDE4C"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Regular Members </w:t>
      </w:r>
    </w:p>
    <w:p w14:paraId="6539A572" w14:textId="5E4CE1D2" w:rsidR="00A5137F" w:rsidRPr="002623FC" w:rsidRDefault="00A5137F" w:rsidP="003229ED">
      <w:pPr>
        <w:pStyle w:val="MessageHeader"/>
        <w:keepLines w:val="0"/>
        <w:tabs>
          <w:tab w:val="left" w:pos="900"/>
        </w:tabs>
        <w:spacing w:after="0" w:line="240" w:lineRule="auto"/>
        <w:ind w:left="0" w:firstLine="0"/>
        <w:rPr>
          <w:rFonts w:ascii="Times New Roman" w:hAnsi="Times New Roman"/>
          <w:sz w:val="24"/>
          <w:szCs w:val="24"/>
        </w:rPr>
      </w:pPr>
      <w:r w:rsidRPr="002623FC">
        <w:rPr>
          <w:rFonts w:ascii="Times New Roman" w:hAnsi="Times New Roman"/>
          <w:spacing w:val="0"/>
          <w:sz w:val="24"/>
          <w:szCs w:val="24"/>
        </w:rPr>
        <w:t xml:space="preserve">       CWCI Associate Members </w:t>
      </w:r>
    </w:p>
    <w:sectPr w:rsidR="00A5137F" w:rsidRPr="002623FC" w:rsidSect="006E6AAD">
      <w:headerReference w:type="even" r:id="rId10"/>
      <w:headerReference w:type="default" r:id="rId11"/>
      <w:footerReference w:type="even" r:id="rId12"/>
      <w:footerReference w:type="default" r:id="rId13"/>
      <w:headerReference w:type="first" r:id="rId14"/>
      <w:footerReference w:type="first" r:id="rId15"/>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4CA09" w14:textId="77777777" w:rsidR="00EB278B" w:rsidRDefault="00EB278B" w:rsidP="004F3175">
      <w:pPr>
        <w:spacing w:after="0" w:line="240" w:lineRule="auto"/>
      </w:pPr>
      <w:r>
        <w:separator/>
      </w:r>
    </w:p>
  </w:endnote>
  <w:endnote w:type="continuationSeparator" w:id="0">
    <w:p w14:paraId="41F8A540" w14:textId="77777777" w:rsidR="00EB278B" w:rsidRDefault="00EB278B"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918C5" w14:textId="77777777" w:rsidR="00573C06" w:rsidRDefault="00573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4148" w14:textId="4E0DADED" w:rsidR="00573C06" w:rsidRDefault="00573C0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45-Day Comment, Medical-Legal Fee Schedule Regulations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25744">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4E02432B" w14:textId="77777777" w:rsidR="00573C06" w:rsidRDefault="00573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2BB6" w14:textId="77777777" w:rsidR="00573C06" w:rsidRDefault="00573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14A53" w14:textId="77777777" w:rsidR="00EB278B" w:rsidRDefault="00EB278B" w:rsidP="004F3175">
      <w:pPr>
        <w:spacing w:after="0" w:line="240" w:lineRule="auto"/>
      </w:pPr>
      <w:r>
        <w:separator/>
      </w:r>
    </w:p>
  </w:footnote>
  <w:footnote w:type="continuationSeparator" w:id="0">
    <w:p w14:paraId="04D62AF7" w14:textId="77777777" w:rsidR="00EB278B" w:rsidRDefault="00EB278B" w:rsidP="004F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D9FA0" w14:textId="77777777" w:rsidR="00573C06" w:rsidRDefault="00573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C669" w14:textId="164C6CE7" w:rsidR="00573C06" w:rsidRDefault="00573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88436" w14:textId="77777777" w:rsidR="00573C06" w:rsidRDefault="00573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4CDD7C20"/>
    <w:multiLevelType w:val="hybridMultilevel"/>
    <w:tmpl w:val="9190D4EC"/>
    <w:lvl w:ilvl="0" w:tplc="FA02CEE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E5BBF"/>
    <w:multiLevelType w:val="hybridMultilevel"/>
    <w:tmpl w:val="139E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067C2"/>
    <w:multiLevelType w:val="hybridMultilevel"/>
    <w:tmpl w:val="53FAF594"/>
    <w:lvl w:ilvl="0" w:tplc="60E6E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B22A9E-C2F3-4E98-A971-6B1252F31D17}"/>
    <w:docVar w:name="dgnword-eventsink" w:val="255987936"/>
  </w:docVars>
  <w:rsids>
    <w:rsidRoot w:val="00B36931"/>
    <w:rsid w:val="00004638"/>
    <w:rsid w:val="000232A6"/>
    <w:rsid w:val="0002607B"/>
    <w:rsid w:val="0002696A"/>
    <w:rsid w:val="000323DE"/>
    <w:rsid w:val="00035410"/>
    <w:rsid w:val="000379FD"/>
    <w:rsid w:val="00040386"/>
    <w:rsid w:val="00041190"/>
    <w:rsid w:val="000525C5"/>
    <w:rsid w:val="00067A91"/>
    <w:rsid w:val="00070B07"/>
    <w:rsid w:val="00076617"/>
    <w:rsid w:val="00086118"/>
    <w:rsid w:val="00091CA9"/>
    <w:rsid w:val="00093743"/>
    <w:rsid w:val="000A07ED"/>
    <w:rsid w:val="000A1F3C"/>
    <w:rsid w:val="000A279E"/>
    <w:rsid w:val="000A2C82"/>
    <w:rsid w:val="000A797F"/>
    <w:rsid w:val="000B4C6F"/>
    <w:rsid w:val="000D1560"/>
    <w:rsid w:val="000D190C"/>
    <w:rsid w:val="000E005D"/>
    <w:rsid w:val="001152E7"/>
    <w:rsid w:val="00121812"/>
    <w:rsid w:val="00125F46"/>
    <w:rsid w:val="0014174C"/>
    <w:rsid w:val="001421FB"/>
    <w:rsid w:val="00142F3C"/>
    <w:rsid w:val="00147AE7"/>
    <w:rsid w:val="001564C1"/>
    <w:rsid w:val="00160446"/>
    <w:rsid w:val="00165ECF"/>
    <w:rsid w:val="00174879"/>
    <w:rsid w:val="001751A7"/>
    <w:rsid w:val="00183D61"/>
    <w:rsid w:val="00183F37"/>
    <w:rsid w:val="001923B6"/>
    <w:rsid w:val="001A2DDD"/>
    <w:rsid w:val="001B653B"/>
    <w:rsid w:val="001B6653"/>
    <w:rsid w:val="001C61F7"/>
    <w:rsid w:val="001D2488"/>
    <w:rsid w:val="001D31DD"/>
    <w:rsid w:val="001D3E4A"/>
    <w:rsid w:val="001E1411"/>
    <w:rsid w:val="0021734B"/>
    <w:rsid w:val="00226B7E"/>
    <w:rsid w:val="002309CB"/>
    <w:rsid w:val="0023394E"/>
    <w:rsid w:val="00233C98"/>
    <w:rsid w:val="00234A9E"/>
    <w:rsid w:val="002623FC"/>
    <w:rsid w:val="002628C1"/>
    <w:rsid w:val="002A24FD"/>
    <w:rsid w:val="002A56F1"/>
    <w:rsid w:val="002A5FA9"/>
    <w:rsid w:val="002A63B7"/>
    <w:rsid w:val="002B30E4"/>
    <w:rsid w:val="002D4E87"/>
    <w:rsid w:val="002D7102"/>
    <w:rsid w:val="002E43D1"/>
    <w:rsid w:val="002F786D"/>
    <w:rsid w:val="00303FEA"/>
    <w:rsid w:val="00313049"/>
    <w:rsid w:val="003229ED"/>
    <w:rsid w:val="0032759A"/>
    <w:rsid w:val="00327F32"/>
    <w:rsid w:val="00336F66"/>
    <w:rsid w:val="00340911"/>
    <w:rsid w:val="003813D7"/>
    <w:rsid w:val="00381F28"/>
    <w:rsid w:val="003B2199"/>
    <w:rsid w:val="003C2BE4"/>
    <w:rsid w:val="003C443E"/>
    <w:rsid w:val="003C4825"/>
    <w:rsid w:val="003D2855"/>
    <w:rsid w:val="003D790C"/>
    <w:rsid w:val="003E3D67"/>
    <w:rsid w:val="003E40ED"/>
    <w:rsid w:val="003E4286"/>
    <w:rsid w:val="003F52D3"/>
    <w:rsid w:val="004064DE"/>
    <w:rsid w:val="00412E75"/>
    <w:rsid w:val="00423E0F"/>
    <w:rsid w:val="00425744"/>
    <w:rsid w:val="00433C57"/>
    <w:rsid w:val="00442F4F"/>
    <w:rsid w:val="00443A97"/>
    <w:rsid w:val="00451512"/>
    <w:rsid w:val="004541EA"/>
    <w:rsid w:val="00456989"/>
    <w:rsid w:val="00457C07"/>
    <w:rsid w:val="004600F6"/>
    <w:rsid w:val="004836EC"/>
    <w:rsid w:val="004A6ADD"/>
    <w:rsid w:val="004B38A8"/>
    <w:rsid w:val="004C35C4"/>
    <w:rsid w:val="004D5475"/>
    <w:rsid w:val="004D5710"/>
    <w:rsid w:val="004D7956"/>
    <w:rsid w:val="004F2363"/>
    <w:rsid w:val="004F3175"/>
    <w:rsid w:val="004F494A"/>
    <w:rsid w:val="004F7EA1"/>
    <w:rsid w:val="0050353A"/>
    <w:rsid w:val="005051CA"/>
    <w:rsid w:val="00515904"/>
    <w:rsid w:val="00520DEC"/>
    <w:rsid w:val="0052534D"/>
    <w:rsid w:val="0052638F"/>
    <w:rsid w:val="005272A1"/>
    <w:rsid w:val="005364E0"/>
    <w:rsid w:val="00540157"/>
    <w:rsid w:val="005418C2"/>
    <w:rsid w:val="00561532"/>
    <w:rsid w:val="00564DD3"/>
    <w:rsid w:val="00573C06"/>
    <w:rsid w:val="00587F6F"/>
    <w:rsid w:val="0059584B"/>
    <w:rsid w:val="005A2039"/>
    <w:rsid w:val="005A4623"/>
    <w:rsid w:val="005A6ADB"/>
    <w:rsid w:val="005C6456"/>
    <w:rsid w:val="005D0B76"/>
    <w:rsid w:val="005D37AE"/>
    <w:rsid w:val="005D6762"/>
    <w:rsid w:val="005E7A83"/>
    <w:rsid w:val="005F228D"/>
    <w:rsid w:val="005F2B56"/>
    <w:rsid w:val="006161EC"/>
    <w:rsid w:val="006177F6"/>
    <w:rsid w:val="00626B69"/>
    <w:rsid w:val="00627380"/>
    <w:rsid w:val="00627443"/>
    <w:rsid w:val="00632552"/>
    <w:rsid w:val="00636284"/>
    <w:rsid w:val="00640245"/>
    <w:rsid w:val="006470DB"/>
    <w:rsid w:val="00652D95"/>
    <w:rsid w:val="006570ED"/>
    <w:rsid w:val="00657736"/>
    <w:rsid w:val="00661DB9"/>
    <w:rsid w:val="00666A05"/>
    <w:rsid w:val="00676622"/>
    <w:rsid w:val="00684244"/>
    <w:rsid w:val="0069076A"/>
    <w:rsid w:val="00691F0D"/>
    <w:rsid w:val="006A7C24"/>
    <w:rsid w:val="006B6862"/>
    <w:rsid w:val="006C38B4"/>
    <w:rsid w:val="006D4499"/>
    <w:rsid w:val="006D6442"/>
    <w:rsid w:val="006D7557"/>
    <w:rsid w:val="006E11BB"/>
    <w:rsid w:val="006E6AAD"/>
    <w:rsid w:val="006E781E"/>
    <w:rsid w:val="00701558"/>
    <w:rsid w:val="00747E1D"/>
    <w:rsid w:val="00753E04"/>
    <w:rsid w:val="00757509"/>
    <w:rsid w:val="00764D04"/>
    <w:rsid w:val="00765AB4"/>
    <w:rsid w:val="00772B32"/>
    <w:rsid w:val="00782A09"/>
    <w:rsid w:val="007944E7"/>
    <w:rsid w:val="007975A8"/>
    <w:rsid w:val="007A12C7"/>
    <w:rsid w:val="007A2775"/>
    <w:rsid w:val="007A6E23"/>
    <w:rsid w:val="007B1BF2"/>
    <w:rsid w:val="007B32BA"/>
    <w:rsid w:val="007D0E76"/>
    <w:rsid w:val="007E51AB"/>
    <w:rsid w:val="007F1225"/>
    <w:rsid w:val="00801015"/>
    <w:rsid w:val="00806AA8"/>
    <w:rsid w:val="008072E0"/>
    <w:rsid w:val="00811419"/>
    <w:rsid w:val="00812CF1"/>
    <w:rsid w:val="00830AD3"/>
    <w:rsid w:val="008405AD"/>
    <w:rsid w:val="00840B99"/>
    <w:rsid w:val="008436A8"/>
    <w:rsid w:val="008559F0"/>
    <w:rsid w:val="008746B7"/>
    <w:rsid w:val="00887BA5"/>
    <w:rsid w:val="00887D16"/>
    <w:rsid w:val="008C178C"/>
    <w:rsid w:val="008E00FF"/>
    <w:rsid w:val="008E200D"/>
    <w:rsid w:val="008E481B"/>
    <w:rsid w:val="008F6A56"/>
    <w:rsid w:val="00906331"/>
    <w:rsid w:val="00906F04"/>
    <w:rsid w:val="0091530E"/>
    <w:rsid w:val="009359A6"/>
    <w:rsid w:val="00947C8E"/>
    <w:rsid w:val="009539B5"/>
    <w:rsid w:val="009552AE"/>
    <w:rsid w:val="00963BA5"/>
    <w:rsid w:val="0096696E"/>
    <w:rsid w:val="0097499F"/>
    <w:rsid w:val="00977252"/>
    <w:rsid w:val="00982675"/>
    <w:rsid w:val="009857FD"/>
    <w:rsid w:val="009A4713"/>
    <w:rsid w:val="009A4F4C"/>
    <w:rsid w:val="009A5BCD"/>
    <w:rsid w:val="009A74C6"/>
    <w:rsid w:val="009B08EF"/>
    <w:rsid w:val="009B7BAB"/>
    <w:rsid w:val="009B7EC0"/>
    <w:rsid w:val="009C5B8B"/>
    <w:rsid w:val="009F01BF"/>
    <w:rsid w:val="009F6788"/>
    <w:rsid w:val="009F7CDD"/>
    <w:rsid w:val="00A13867"/>
    <w:rsid w:val="00A14022"/>
    <w:rsid w:val="00A1511B"/>
    <w:rsid w:val="00A15B0B"/>
    <w:rsid w:val="00A16A06"/>
    <w:rsid w:val="00A20F4E"/>
    <w:rsid w:val="00A22B52"/>
    <w:rsid w:val="00A32848"/>
    <w:rsid w:val="00A356F4"/>
    <w:rsid w:val="00A376EA"/>
    <w:rsid w:val="00A5137F"/>
    <w:rsid w:val="00A54AFC"/>
    <w:rsid w:val="00A56C0D"/>
    <w:rsid w:val="00A56F1A"/>
    <w:rsid w:val="00A751F6"/>
    <w:rsid w:val="00A76507"/>
    <w:rsid w:val="00A860AA"/>
    <w:rsid w:val="00A948AA"/>
    <w:rsid w:val="00AA23B2"/>
    <w:rsid w:val="00AA23F4"/>
    <w:rsid w:val="00AA7646"/>
    <w:rsid w:val="00AB0B0F"/>
    <w:rsid w:val="00AB1D02"/>
    <w:rsid w:val="00AB28A1"/>
    <w:rsid w:val="00AC242F"/>
    <w:rsid w:val="00AE0CBF"/>
    <w:rsid w:val="00AE1B32"/>
    <w:rsid w:val="00B04AD4"/>
    <w:rsid w:val="00B15C4E"/>
    <w:rsid w:val="00B160C5"/>
    <w:rsid w:val="00B16588"/>
    <w:rsid w:val="00B3109F"/>
    <w:rsid w:val="00B32229"/>
    <w:rsid w:val="00B334E5"/>
    <w:rsid w:val="00B36931"/>
    <w:rsid w:val="00B50F4A"/>
    <w:rsid w:val="00B51C00"/>
    <w:rsid w:val="00B5280E"/>
    <w:rsid w:val="00B70EA7"/>
    <w:rsid w:val="00B711C9"/>
    <w:rsid w:val="00B843DB"/>
    <w:rsid w:val="00B95F46"/>
    <w:rsid w:val="00B966D0"/>
    <w:rsid w:val="00B97117"/>
    <w:rsid w:val="00BA0175"/>
    <w:rsid w:val="00BA1BAE"/>
    <w:rsid w:val="00BA5F24"/>
    <w:rsid w:val="00BB0B87"/>
    <w:rsid w:val="00BB1759"/>
    <w:rsid w:val="00BB7C48"/>
    <w:rsid w:val="00BD3723"/>
    <w:rsid w:val="00BD5E0F"/>
    <w:rsid w:val="00BE3A46"/>
    <w:rsid w:val="00BF3F69"/>
    <w:rsid w:val="00BF6F50"/>
    <w:rsid w:val="00BF7D23"/>
    <w:rsid w:val="00C0310A"/>
    <w:rsid w:val="00C10D9A"/>
    <w:rsid w:val="00C2316F"/>
    <w:rsid w:val="00C23F2C"/>
    <w:rsid w:val="00C31BF1"/>
    <w:rsid w:val="00C31FCE"/>
    <w:rsid w:val="00C437DE"/>
    <w:rsid w:val="00C46D81"/>
    <w:rsid w:val="00C53AA5"/>
    <w:rsid w:val="00C54326"/>
    <w:rsid w:val="00C55318"/>
    <w:rsid w:val="00C60367"/>
    <w:rsid w:val="00C75430"/>
    <w:rsid w:val="00C83391"/>
    <w:rsid w:val="00C845A9"/>
    <w:rsid w:val="00C86177"/>
    <w:rsid w:val="00C93732"/>
    <w:rsid w:val="00CA2AA4"/>
    <w:rsid w:val="00CC165F"/>
    <w:rsid w:val="00CC438B"/>
    <w:rsid w:val="00CD1411"/>
    <w:rsid w:val="00CD1DE6"/>
    <w:rsid w:val="00CD36E3"/>
    <w:rsid w:val="00CD40D4"/>
    <w:rsid w:val="00CE06B0"/>
    <w:rsid w:val="00CE0AB7"/>
    <w:rsid w:val="00CF1478"/>
    <w:rsid w:val="00CF1A1C"/>
    <w:rsid w:val="00CF5EC6"/>
    <w:rsid w:val="00CF6BA2"/>
    <w:rsid w:val="00D13706"/>
    <w:rsid w:val="00D15AFC"/>
    <w:rsid w:val="00D15E4F"/>
    <w:rsid w:val="00D20B3D"/>
    <w:rsid w:val="00D227FE"/>
    <w:rsid w:val="00D35170"/>
    <w:rsid w:val="00D43CE3"/>
    <w:rsid w:val="00D510FD"/>
    <w:rsid w:val="00D61C8A"/>
    <w:rsid w:val="00D641D5"/>
    <w:rsid w:val="00D700A7"/>
    <w:rsid w:val="00D73A70"/>
    <w:rsid w:val="00D76F10"/>
    <w:rsid w:val="00D84C71"/>
    <w:rsid w:val="00D901E3"/>
    <w:rsid w:val="00D92AE8"/>
    <w:rsid w:val="00D977CF"/>
    <w:rsid w:val="00DA45F5"/>
    <w:rsid w:val="00DA5246"/>
    <w:rsid w:val="00DA6177"/>
    <w:rsid w:val="00DB7DBB"/>
    <w:rsid w:val="00DC0CCD"/>
    <w:rsid w:val="00DC1461"/>
    <w:rsid w:val="00DC1DB2"/>
    <w:rsid w:val="00DC6885"/>
    <w:rsid w:val="00DC7B25"/>
    <w:rsid w:val="00DE3E05"/>
    <w:rsid w:val="00E11C78"/>
    <w:rsid w:val="00E17B7C"/>
    <w:rsid w:val="00E21172"/>
    <w:rsid w:val="00E22F8D"/>
    <w:rsid w:val="00E27B60"/>
    <w:rsid w:val="00E30F35"/>
    <w:rsid w:val="00E3294E"/>
    <w:rsid w:val="00E348E3"/>
    <w:rsid w:val="00E50AF3"/>
    <w:rsid w:val="00E61833"/>
    <w:rsid w:val="00E70B21"/>
    <w:rsid w:val="00E76762"/>
    <w:rsid w:val="00E8776F"/>
    <w:rsid w:val="00E91BF1"/>
    <w:rsid w:val="00EA00C7"/>
    <w:rsid w:val="00EA2165"/>
    <w:rsid w:val="00EA2EA2"/>
    <w:rsid w:val="00EB278B"/>
    <w:rsid w:val="00EB76D1"/>
    <w:rsid w:val="00EC2D26"/>
    <w:rsid w:val="00ED506C"/>
    <w:rsid w:val="00ED5F2A"/>
    <w:rsid w:val="00ED74E2"/>
    <w:rsid w:val="00ED7F75"/>
    <w:rsid w:val="00EE68B3"/>
    <w:rsid w:val="00EE7F68"/>
    <w:rsid w:val="00EF613B"/>
    <w:rsid w:val="00EF6D99"/>
    <w:rsid w:val="00F0526C"/>
    <w:rsid w:val="00F07153"/>
    <w:rsid w:val="00F07A87"/>
    <w:rsid w:val="00F13760"/>
    <w:rsid w:val="00F148E7"/>
    <w:rsid w:val="00F17205"/>
    <w:rsid w:val="00F26D4C"/>
    <w:rsid w:val="00F3183A"/>
    <w:rsid w:val="00F57F86"/>
    <w:rsid w:val="00F77A8A"/>
    <w:rsid w:val="00F80338"/>
    <w:rsid w:val="00F80B77"/>
    <w:rsid w:val="00F8129B"/>
    <w:rsid w:val="00FA0DE6"/>
    <w:rsid w:val="00FA2E08"/>
    <w:rsid w:val="00FA4ED6"/>
    <w:rsid w:val="00FA6F07"/>
    <w:rsid w:val="00FB7077"/>
    <w:rsid w:val="00FC0BC7"/>
    <w:rsid w:val="00FC0C02"/>
    <w:rsid w:val="00FC66BE"/>
    <w:rsid w:val="00FD261D"/>
    <w:rsid w:val="00FD6F1E"/>
    <w:rsid w:val="00FE3717"/>
    <w:rsid w:val="00FF3857"/>
    <w:rsid w:val="00FF5C84"/>
    <w:rsid w:val="00FF5F79"/>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3ED4"/>
  <w15:docId w15:val="{A76E9680-13E0-45D8-B6A4-AD75CA09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 w:type="paragraph" w:styleId="NoSpacing">
    <w:name w:val="No Spacing"/>
    <w:uiPriority w:val="1"/>
    <w:qFormat/>
    <w:rsid w:val="00661DB9"/>
    <w:pPr>
      <w:spacing w:after="0" w:line="240" w:lineRule="auto"/>
    </w:pPr>
    <w:rPr>
      <w:rFonts w:ascii="Calibri" w:eastAsia="Calibri" w:hAnsi="Calibri" w:cs="Times New Roman"/>
    </w:rPr>
  </w:style>
  <w:style w:type="paragraph" w:customStyle="1" w:styleId="Default">
    <w:name w:val="Default"/>
    <w:rsid w:val="00A751F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26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96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2696A"/>
    <w:rPr>
      <w:vertAlign w:val="superscript"/>
    </w:rPr>
  </w:style>
  <w:style w:type="table" w:styleId="TableGridLight">
    <w:name w:val="Grid Table Light"/>
    <w:basedOn w:val="TableNormal"/>
    <w:uiPriority w:val="40"/>
    <w:rsid w:val="000E005D"/>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C438B"/>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303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73665">
      <w:bodyDiv w:val="1"/>
      <w:marLeft w:val="0"/>
      <w:marRight w:val="0"/>
      <w:marTop w:val="0"/>
      <w:marBottom w:val="0"/>
      <w:divBdr>
        <w:top w:val="none" w:sz="0" w:space="0" w:color="auto"/>
        <w:left w:val="none" w:sz="0" w:space="0" w:color="auto"/>
        <w:bottom w:val="none" w:sz="0" w:space="0" w:color="auto"/>
        <w:right w:val="none" w:sz="0" w:space="0" w:color="auto"/>
      </w:divBdr>
    </w:div>
    <w:div w:id="834800802">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 w:id="13425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CRules@dir.c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6903-4A11-4F91-A590-A04CF240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Jones</dc:creator>
  <cp:lastModifiedBy>Jackie Secia</cp:lastModifiedBy>
  <cp:revision>2</cp:revision>
  <dcterms:created xsi:type="dcterms:W3CDTF">2020-12-15T19:25:00Z</dcterms:created>
  <dcterms:modified xsi:type="dcterms:W3CDTF">2020-12-15T19:25:00Z</dcterms:modified>
</cp:coreProperties>
</file>